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9BD04" w14:textId="77777777" w:rsidR="00DD4E55" w:rsidRDefault="00DD4E55" w:rsidP="002547CF">
      <w:pPr>
        <w:pStyle w:val="Heading1"/>
        <w:numPr>
          <w:ilvl w:val="0"/>
          <w:numId w:val="0"/>
        </w:numPr>
        <w:ind w:left="432" w:hanging="432"/>
      </w:pPr>
      <w:bookmarkStart w:id="0" w:name="_Toc536101101"/>
      <w:r>
        <w:t>Technical Appendix for the Wellness in Work Report</w:t>
      </w:r>
    </w:p>
    <w:p w14:paraId="3D5CE0A8" w14:textId="4F24DDF7" w:rsidR="00C2176C" w:rsidRDefault="00DD4E55" w:rsidP="00DD4E55">
      <w:pPr>
        <w:pStyle w:val="Heading3"/>
        <w:numPr>
          <w:ilvl w:val="0"/>
          <w:numId w:val="0"/>
        </w:numPr>
        <w:ind w:left="720"/>
      </w:pPr>
      <w:r>
        <w:t>Wellness in work: The economic arguments for investing in the health and wellbeing of the workforce in Wales</w:t>
      </w:r>
    </w:p>
    <w:p w14:paraId="74302091" w14:textId="77777777" w:rsidR="00C2176C" w:rsidRDefault="00C2176C" w:rsidP="00C2176C"/>
    <w:p w14:paraId="01D5ABD4" w14:textId="5B0F69B9" w:rsidR="00C2176C" w:rsidRDefault="00DD4E55" w:rsidP="00C2176C">
      <w:r>
        <w:t>Technical Appendix p</w:t>
      </w:r>
      <w:r w:rsidR="00C2176C">
        <w:t>repared by Dr Llinos Haf Spencer and Bethany Fern Anthony</w:t>
      </w:r>
    </w:p>
    <w:p w14:paraId="5A3F64AA" w14:textId="09CCC20A" w:rsidR="00C2176C" w:rsidRDefault="00C2176C" w:rsidP="00C2176C">
      <w:r>
        <w:t xml:space="preserve">Centre for </w:t>
      </w:r>
      <w:r w:rsidR="00DD4E55">
        <w:t>Health</w:t>
      </w:r>
      <w:r>
        <w:t xml:space="preserve"> Economics and Medicines Evaluation</w:t>
      </w:r>
      <w:r w:rsidR="00DD4E55">
        <w:t xml:space="preserve"> (CHEME)</w:t>
      </w:r>
    </w:p>
    <w:p w14:paraId="5421950C" w14:textId="77777777" w:rsidR="00C2176C" w:rsidRDefault="00C2176C" w:rsidP="00C2176C"/>
    <w:p w14:paraId="755E4718" w14:textId="2AB1CB6C" w:rsidR="00C2176C" w:rsidRPr="00C2176C" w:rsidRDefault="00C2176C" w:rsidP="00C2176C">
      <w:r>
        <w:t>cheme@bangor.ac.uk</w:t>
      </w:r>
    </w:p>
    <w:p w14:paraId="7CBB8672" w14:textId="77777777" w:rsidR="00C2176C" w:rsidRPr="00C2176C" w:rsidRDefault="00C2176C" w:rsidP="00C2176C"/>
    <w:p w14:paraId="28D4E6AE" w14:textId="11D948BA" w:rsidR="00C2176C" w:rsidRPr="00E20149" w:rsidRDefault="00DD4E55" w:rsidP="002547CF">
      <w:pPr>
        <w:pStyle w:val="Heading1"/>
        <w:numPr>
          <w:ilvl w:val="0"/>
          <w:numId w:val="0"/>
        </w:numPr>
        <w:ind w:left="432" w:hanging="432"/>
        <w:rPr>
          <w:sz w:val="24"/>
          <w:szCs w:val="24"/>
        </w:rPr>
      </w:pPr>
      <w:r>
        <w:t>Link</w:t>
      </w:r>
      <w:r w:rsidR="00C2176C">
        <w:t xml:space="preserve"> to the full report</w:t>
      </w:r>
      <w:bookmarkStart w:id="1" w:name="_GoBack"/>
      <w:bookmarkEnd w:id="1"/>
      <w:r w:rsidR="003E5DC9">
        <w:t xml:space="preserve">: </w:t>
      </w:r>
      <w:hyperlink r:id="rId8" w:history="1">
        <w:r w:rsidRPr="00E20149">
          <w:rPr>
            <w:rStyle w:val="Hyperlink"/>
            <w:sz w:val="24"/>
            <w:szCs w:val="24"/>
          </w:rPr>
          <w:t>https://cheme.bangor.ac.uk/reportspublications.php.en</w:t>
        </w:r>
      </w:hyperlink>
    </w:p>
    <w:p w14:paraId="0D821888" w14:textId="77777777" w:rsidR="00DD4E55" w:rsidRDefault="00DD4E55">
      <w:pPr>
        <w:rPr>
          <w:rFonts w:eastAsiaTheme="majorEastAsia" w:cstheme="majorBidi"/>
          <w:b/>
          <w:color w:val="2E74B5" w:themeColor="accent1" w:themeShade="BF"/>
          <w:sz w:val="32"/>
          <w:szCs w:val="32"/>
        </w:rPr>
      </w:pPr>
      <w:r>
        <w:br w:type="page"/>
      </w:r>
    </w:p>
    <w:p w14:paraId="13CAC1DD" w14:textId="441D7BD5" w:rsidR="00DB2257" w:rsidRPr="002547CF" w:rsidRDefault="00DB2257" w:rsidP="002547CF">
      <w:pPr>
        <w:pStyle w:val="Heading1"/>
        <w:numPr>
          <w:ilvl w:val="0"/>
          <w:numId w:val="0"/>
        </w:numPr>
        <w:ind w:left="432" w:hanging="432"/>
      </w:pPr>
      <w:r w:rsidRPr="002547CF">
        <w:lastRenderedPageBreak/>
        <w:t>Welln</w:t>
      </w:r>
      <w:r w:rsidR="00DD4E55">
        <w:t>ess in work report – Technical A</w:t>
      </w:r>
      <w:r w:rsidRPr="002547CF">
        <w:t>ppendix</w:t>
      </w:r>
    </w:p>
    <w:p w14:paraId="0BCB0661" w14:textId="78208533" w:rsidR="008A7167" w:rsidRPr="002F0252" w:rsidRDefault="00DD4E55" w:rsidP="008A7167">
      <w:r>
        <w:t>Contents</w:t>
      </w:r>
    </w:p>
    <w:bookmarkEnd w:id="0"/>
    <w:p w14:paraId="3979352A" w14:textId="21E62B1D" w:rsidR="00B35240" w:rsidRDefault="002547CF" w:rsidP="008A7167">
      <w:pPr>
        <w:pStyle w:val="Heading3"/>
        <w:numPr>
          <w:ilvl w:val="2"/>
          <w:numId w:val="15"/>
        </w:numPr>
        <w:rPr>
          <w:color w:val="auto"/>
        </w:rPr>
      </w:pPr>
      <w:r>
        <w:rPr>
          <w:color w:val="auto"/>
        </w:rPr>
        <w:t xml:space="preserve">Rapid review </w:t>
      </w:r>
      <w:r w:rsidR="00CB756A">
        <w:rPr>
          <w:color w:val="auto"/>
        </w:rPr>
        <w:t>methodology</w:t>
      </w:r>
    </w:p>
    <w:p w14:paraId="13488D07" w14:textId="352076C5" w:rsidR="007002AE" w:rsidRPr="002F0252" w:rsidRDefault="00E94CFA" w:rsidP="008A7167">
      <w:pPr>
        <w:pStyle w:val="Heading3"/>
        <w:numPr>
          <w:ilvl w:val="2"/>
          <w:numId w:val="15"/>
        </w:numPr>
        <w:rPr>
          <w:color w:val="auto"/>
        </w:rPr>
      </w:pPr>
      <w:r w:rsidRPr="002F0252">
        <w:rPr>
          <w:color w:val="auto"/>
        </w:rPr>
        <w:t>Search terms for wellness in work rapid review</w:t>
      </w:r>
    </w:p>
    <w:p w14:paraId="1F661EC4" w14:textId="2D6B3449" w:rsidR="007002AE" w:rsidRPr="002F0252" w:rsidRDefault="007002AE" w:rsidP="008A7167">
      <w:pPr>
        <w:pStyle w:val="Heading3"/>
        <w:numPr>
          <w:ilvl w:val="2"/>
          <w:numId w:val="15"/>
        </w:numPr>
        <w:rPr>
          <w:color w:val="auto"/>
        </w:rPr>
      </w:pPr>
      <w:r w:rsidRPr="002F0252">
        <w:rPr>
          <w:color w:val="auto"/>
        </w:rPr>
        <w:t>Summary of search (PRISMA type figure)</w:t>
      </w:r>
    </w:p>
    <w:p w14:paraId="5D38F43D" w14:textId="09EBD0DF" w:rsidR="00E94CFA" w:rsidRPr="002F0252" w:rsidRDefault="00E94CFA" w:rsidP="008A7167">
      <w:pPr>
        <w:pStyle w:val="Heading3"/>
        <w:numPr>
          <w:ilvl w:val="2"/>
          <w:numId w:val="15"/>
        </w:numPr>
        <w:rPr>
          <w:color w:val="auto"/>
        </w:rPr>
      </w:pPr>
      <w:r w:rsidRPr="002F0252">
        <w:rPr>
          <w:color w:val="auto"/>
        </w:rPr>
        <w:t>Rapid review tables according to type of intervention</w:t>
      </w:r>
    </w:p>
    <w:p w14:paraId="77B4A174" w14:textId="77777777" w:rsidR="00C43593" w:rsidRPr="002F0252" w:rsidRDefault="00C43593" w:rsidP="00AE4C4C">
      <w:pPr>
        <w:rPr>
          <w:b/>
        </w:rPr>
      </w:pPr>
      <w:r w:rsidRPr="002F0252">
        <w:rPr>
          <w:b/>
        </w:rPr>
        <w:br w:type="page"/>
      </w:r>
    </w:p>
    <w:p w14:paraId="563E5326" w14:textId="77777777" w:rsidR="00FF00B9" w:rsidRDefault="00FF00B9" w:rsidP="00FF00B9">
      <w:pPr>
        <w:pStyle w:val="Heading1"/>
        <w:numPr>
          <w:ilvl w:val="0"/>
          <w:numId w:val="18"/>
        </w:numPr>
      </w:pPr>
      <w:bookmarkStart w:id="2" w:name="_Toc1471191"/>
      <w:bookmarkStart w:id="3" w:name="_Toc536101102"/>
      <w:r>
        <w:lastRenderedPageBreak/>
        <w:t>Rapid review methodology</w:t>
      </w:r>
      <w:bookmarkEnd w:id="2"/>
    </w:p>
    <w:p w14:paraId="3008C993" w14:textId="77777777" w:rsidR="00FF00B9" w:rsidRDefault="00FF00B9" w:rsidP="00FF00B9">
      <w:r>
        <w:t>A rapid review was conducted to investigate the cost-effectiveness and social return on investment of:</w:t>
      </w:r>
    </w:p>
    <w:p w14:paraId="5C29CE0A" w14:textId="77777777" w:rsidR="00FF00B9" w:rsidRDefault="00FF00B9" w:rsidP="00FF00B9">
      <w:pPr>
        <w:numPr>
          <w:ilvl w:val="0"/>
          <w:numId w:val="17"/>
        </w:numPr>
        <w:pBdr>
          <w:top w:val="nil"/>
          <w:left w:val="nil"/>
          <w:bottom w:val="nil"/>
          <w:right w:val="nil"/>
          <w:between w:val="nil"/>
        </w:pBdr>
        <w:spacing w:line="276" w:lineRule="auto"/>
      </w:pPr>
      <w:r>
        <w:rPr>
          <w:color w:val="000000"/>
          <w:sz w:val="22"/>
          <w:szCs w:val="22"/>
        </w:rPr>
        <w:t>Initiatives to move people into employment.</w:t>
      </w:r>
    </w:p>
    <w:p w14:paraId="4AD233F8" w14:textId="77777777" w:rsidR="00FF00B9" w:rsidRDefault="00FF00B9" w:rsidP="00FF00B9">
      <w:pPr>
        <w:numPr>
          <w:ilvl w:val="0"/>
          <w:numId w:val="17"/>
        </w:numPr>
        <w:pBdr>
          <w:top w:val="nil"/>
          <w:left w:val="nil"/>
          <w:bottom w:val="nil"/>
          <w:right w:val="nil"/>
          <w:between w:val="nil"/>
        </w:pBdr>
        <w:spacing w:line="276" w:lineRule="auto"/>
      </w:pPr>
      <w:r>
        <w:rPr>
          <w:color w:val="000000"/>
          <w:sz w:val="22"/>
          <w:szCs w:val="22"/>
        </w:rPr>
        <w:t>Initiatives to ensure wellbeing in the workplace, thus keeping people well in work</w:t>
      </w:r>
    </w:p>
    <w:p w14:paraId="7D207EDE" w14:textId="77777777" w:rsidR="00FF00B9" w:rsidRDefault="00FF00B9" w:rsidP="00FF00B9"/>
    <w:p w14:paraId="62AFF951" w14:textId="0E911006" w:rsidR="00FF00B9" w:rsidRDefault="00FF00B9" w:rsidP="00FF00B9">
      <w:r>
        <w:t>The review broadly followed the design, methods and processes of the Cochrane Effective Practice and Or</w:t>
      </w:r>
      <w:r w:rsidR="00C2176C">
        <w:t>ganisation of Care Group (EPOC)</w:t>
      </w:r>
      <w:r>
        <w:t xml:space="preserve"> for the synthesis of effect evidence and reporting guidance as set out by the Preferred Reporting Items for Systematic Re</w:t>
      </w:r>
      <w:r w:rsidR="00C2176C">
        <w:t>view and meta-analysis (PRISMA)</w:t>
      </w:r>
      <w:r>
        <w:t xml:space="preserve">. Where necessary, this process was condensed to account for the rapid nature of the evidence review. </w:t>
      </w:r>
    </w:p>
    <w:p w14:paraId="13FC7D35" w14:textId="77777777" w:rsidR="00FF00B9" w:rsidRDefault="00FF00B9" w:rsidP="00FF00B9"/>
    <w:p w14:paraId="585C197E" w14:textId="77777777" w:rsidR="00FF00B9" w:rsidRDefault="00FF00B9" w:rsidP="00FF00B9">
      <w:r>
        <w:t>Internet reference database searching was the main strategy for gathering evidence. Databases included: Cochrane Collaboration Register and Library, CINAHL, ASSIA, PsychINFO, PubMed, Web of Science, DARE, NHS EED and HTA. Screening of reference lists and hand-searching was supplement to electronic searching. Grey literature was included to limit publication bias, and was sought using online search engine searches (e.g. Google, Google Scholar). Due to limited translation resources, only studies written or translated into English (UK and international) or Welsh were eligible for inclusion. Search results were managed using the online bibliographic management software Mendeley and Refworks.</w:t>
      </w:r>
    </w:p>
    <w:p w14:paraId="604ADC4D" w14:textId="77777777" w:rsidR="00FF00B9" w:rsidRDefault="00FF00B9" w:rsidP="00FF00B9"/>
    <w:p w14:paraId="32F25489" w14:textId="469C6BE8" w:rsidR="00FF00B9" w:rsidRDefault="00FF00B9" w:rsidP="00FF00B9">
      <w:r>
        <w:t>Search terms and keywords are a mixture of MESH (Medical Subject Heading) and non-MESH terms. In order to ensure that the correct studies are identified, search terms have been divided into 3 groups: popula</w:t>
      </w:r>
      <w:r w:rsidR="00BC0A9F">
        <w:t xml:space="preserve">tion, intervention and outcomes. </w:t>
      </w:r>
      <w:r>
        <w:t>The ‘population’ search terms cover the demographics of the study participants. The ‘intervention’ search terms cover the range of employment terms. The ‘outcomes’ search terms cover relevant economic terminology.</w:t>
      </w:r>
    </w:p>
    <w:p w14:paraId="15A1C817" w14:textId="77777777" w:rsidR="00FF00B9" w:rsidRDefault="00FF00B9" w:rsidP="00FF00B9"/>
    <w:p w14:paraId="7A85D64B" w14:textId="77777777" w:rsidR="00FF00B9" w:rsidRDefault="00FF00B9" w:rsidP="00FF00B9">
      <w:r>
        <w:t>Search terms were linked with ‘OR’ Boolean operators within groups, and with ‘AND’ Boolean operators between groups. ‘NOT’ Boolean operators were used to exclude specific words/phrases where necessary. This ensured that each study considered eligible for inclusion contains at least one search term from each group. An information scientist was consulted to help shape the search terms and truncate keywords. The titles were screened by two researchers.</w:t>
      </w:r>
    </w:p>
    <w:p w14:paraId="7B7B076F" w14:textId="77777777" w:rsidR="00FF00B9" w:rsidRDefault="00FF00B9" w:rsidP="00FF00B9"/>
    <w:p w14:paraId="39D927D5" w14:textId="69A9F988" w:rsidR="00FF00B9" w:rsidRDefault="00FF00B9" w:rsidP="00FF00B9">
      <w:r>
        <w:t>Screening, data extraction and quality appraisal were carried out by two independent reviewers</w:t>
      </w:r>
      <w:r w:rsidR="00BC0A9F">
        <w:t xml:space="preserve">. </w:t>
      </w:r>
      <w:r>
        <w:t xml:space="preserve">Due to the rapid review nature of the evidence synthesis, a rapid quality appraisal methodology was undertaken, </w:t>
      </w:r>
      <w:r w:rsidR="00C2176C">
        <w:t xml:space="preserve">informed by quality appraisal </w:t>
      </w:r>
      <w:r>
        <w:t xml:space="preserve">and risk of bias assessment tools specific to economic evaluations. Research identified through the primary database searches was graded as weak, moderate or strong with any disagreements between reviewers quality checked against the full CASP checklist which was adapted from the BMJ Drummond checklist, recommended by the Cochrane collaboration. </w:t>
      </w:r>
    </w:p>
    <w:p w14:paraId="5AD9EF9E" w14:textId="77777777" w:rsidR="00FF00B9" w:rsidRDefault="00FF00B9" w:rsidP="00FF00B9"/>
    <w:p w14:paraId="75CA670C" w14:textId="77777777" w:rsidR="00FF00B9" w:rsidRDefault="00FF00B9" w:rsidP="00FF00B9">
      <w:r>
        <w:t xml:space="preserve">Data analysis themes were organised to produce tabular and narrative summaries of key characteristics to produce an overall narrative. </w:t>
      </w:r>
    </w:p>
    <w:p w14:paraId="70E031B7" w14:textId="77777777" w:rsidR="00FF00B9" w:rsidRDefault="00FF00B9" w:rsidP="00FF00B9"/>
    <w:p w14:paraId="67A2D9DF" w14:textId="2240C315" w:rsidR="00E71455" w:rsidRPr="00CB756A" w:rsidRDefault="00CB756A" w:rsidP="00CB756A">
      <w:pPr>
        <w:pStyle w:val="Heading1"/>
        <w:numPr>
          <w:ilvl w:val="0"/>
          <w:numId w:val="0"/>
        </w:numPr>
        <w:ind w:left="432"/>
      </w:pPr>
      <w:r w:rsidRPr="00CB756A">
        <w:t>2.</w:t>
      </w:r>
      <w:r w:rsidR="00C2176C">
        <w:t xml:space="preserve"> </w:t>
      </w:r>
      <w:r w:rsidR="00D840E0" w:rsidRPr="00CB756A">
        <w:t>Search terms for w</w:t>
      </w:r>
      <w:r w:rsidR="009D4805" w:rsidRPr="00CB756A">
        <w:t xml:space="preserve">ellness in work </w:t>
      </w:r>
      <w:r w:rsidR="00D840E0" w:rsidRPr="00CB756A">
        <w:t>rapid review</w:t>
      </w:r>
      <w:bookmarkEnd w:id="3"/>
    </w:p>
    <w:p w14:paraId="6D8D2E3B" w14:textId="07CF3DBD" w:rsidR="00B864A1" w:rsidRPr="002F0252" w:rsidRDefault="00B864A1" w:rsidP="00B864A1">
      <w:r w:rsidRPr="002F0252">
        <w:t>This technical appendix includes the search terms for the rapid review of initiativ</w:t>
      </w:r>
      <w:r w:rsidR="00556C47" w:rsidRPr="002F0252">
        <w:t>es to move people into work</w:t>
      </w:r>
      <w:r w:rsidR="00461E67">
        <w:t xml:space="preserve"> (see T</w:t>
      </w:r>
      <w:r w:rsidR="00B70241" w:rsidRPr="002F0252">
        <w:t xml:space="preserve">able </w:t>
      </w:r>
      <w:r w:rsidR="00461E67">
        <w:t>2.</w:t>
      </w:r>
      <w:r w:rsidR="00B70241" w:rsidRPr="002F0252">
        <w:t>1).</w:t>
      </w:r>
    </w:p>
    <w:p w14:paraId="5C336EB0" w14:textId="77777777" w:rsidR="00B864A1" w:rsidRPr="002F0252" w:rsidRDefault="00B864A1" w:rsidP="00B864A1"/>
    <w:p w14:paraId="3C2A4D73" w14:textId="543FF669" w:rsidR="00456868" w:rsidRPr="002F0252" w:rsidRDefault="00456868" w:rsidP="00456868">
      <w:pPr>
        <w:ind w:left="851" w:hanging="851"/>
        <w:rPr>
          <w:b/>
        </w:rPr>
      </w:pPr>
      <w:r w:rsidRPr="002F0252">
        <w:rPr>
          <w:b/>
        </w:rPr>
        <w:t xml:space="preserve">Table </w:t>
      </w:r>
      <w:r w:rsidR="00BC0A9F">
        <w:rPr>
          <w:b/>
        </w:rPr>
        <w:t>2.</w:t>
      </w:r>
      <w:r w:rsidRPr="002F0252">
        <w:rPr>
          <w:b/>
        </w:rPr>
        <w:t>1</w:t>
      </w:r>
      <w:r w:rsidRPr="002F0252">
        <w:rPr>
          <w:b/>
        </w:rPr>
        <w:tab/>
        <w:t>Search terms for rapid review 1: Initiatives to move people into employment</w:t>
      </w:r>
    </w:p>
    <w:p w14:paraId="3DEA03C1" w14:textId="77777777" w:rsidR="00456868" w:rsidRPr="002F0252" w:rsidRDefault="00456868" w:rsidP="00456868"/>
    <w:tbl>
      <w:tblPr>
        <w:tblStyle w:val="TableGrid"/>
        <w:tblW w:w="9400" w:type="dxa"/>
        <w:tblInd w:w="-5" w:type="dxa"/>
        <w:tblLook w:val="04A0" w:firstRow="1" w:lastRow="0" w:firstColumn="1" w:lastColumn="0" w:noHBand="0" w:noVBand="1"/>
      </w:tblPr>
      <w:tblGrid>
        <w:gridCol w:w="2454"/>
        <w:gridCol w:w="2649"/>
        <w:gridCol w:w="4297"/>
      </w:tblGrid>
      <w:tr w:rsidR="00456868" w:rsidRPr="002F0252" w14:paraId="09F1D330" w14:textId="77777777" w:rsidTr="00337F99">
        <w:tc>
          <w:tcPr>
            <w:tcW w:w="2454" w:type="dxa"/>
          </w:tcPr>
          <w:p w14:paraId="559EC7D2" w14:textId="77777777" w:rsidR="00456868" w:rsidRPr="002F0252" w:rsidRDefault="00456868" w:rsidP="00337F99">
            <w:pPr>
              <w:rPr>
                <w:b/>
              </w:rPr>
            </w:pPr>
            <w:r w:rsidRPr="002F0252">
              <w:rPr>
                <w:b/>
              </w:rPr>
              <w:t>Population</w:t>
            </w:r>
          </w:p>
        </w:tc>
        <w:tc>
          <w:tcPr>
            <w:tcW w:w="2649" w:type="dxa"/>
          </w:tcPr>
          <w:p w14:paraId="4764B2C8" w14:textId="77777777" w:rsidR="00456868" w:rsidRPr="002F0252" w:rsidRDefault="00456868" w:rsidP="00337F99">
            <w:pPr>
              <w:rPr>
                <w:b/>
              </w:rPr>
            </w:pPr>
            <w:r w:rsidRPr="002F0252">
              <w:rPr>
                <w:b/>
              </w:rPr>
              <w:t>Intervention</w:t>
            </w:r>
          </w:p>
        </w:tc>
        <w:tc>
          <w:tcPr>
            <w:tcW w:w="4297" w:type="dxa"/>
          </w:tcPr>
          <w:p w14:paraId="7D2B8748" w14:textId="77777777" w:rsidR="00456868" w:rsidRPr="002F0252" w:rsidRDefault="00456868" w:rsidP="00337F99">
            <w:pPr>
              <w:rPr>
                <w:b/>
              </w:rPr>
            </w:pPr>
            <w:r w:rsidRPr="002F0252">
              <w:rPr>
                <w:b/>
              </w:rPr>
              <w:t>Outcome</w:t>
            </w:r>
          </w:p>
        </w:tc>
      </w:tr>
      <w:tr w:rsidR="00456868" w:rsidRPr="002F0252" w14:paraId="5E9B5FED" w14:textId="77777777" w:rsidTr="00337F99">
        <w:trPr>
          <w:trHeight w:val="5704"/>
        </w:trPr>
        <w:tc>
          <w:tcPr>
            <w:tcW w:w="2454" w:type="dxa"/>
          </w:tcPr>
          <w:p w14:paraId="1D3F9FFF" w14:textId="77777777" w:rsidR="00456868" w:rsidRPr="002F0252" w:rsidRDefault="00456868" w:rsidP="00337F99">
            <w:r w:rsidRPr="002F0252">
              <w:t>Benefit</w:t>
            </w:r>
          </w:p>
          <w:p w14:paraId="2CE9BF06" w14:textId="77777777" w:rsidR="00456868" w:rsidRPr="002F0252" w:rsidRDefault="00456868" w:rsidP="00337F99">
            <w:r w:rsidRPr="002F0252">
              <w:t>Disab*</w:t>
            </w:r>
          </w:p>
          <w:p w14:paraId="1E52044D" w14:textId="77777777" w:rsidR="00456868" w:rsidRPr="002F0252" w:rsidRDefault="00456868" w:rsidP="00337F99">
            <w:r w:rsidRPr="002F0252">
              <w:t>Disabled Persons  (MESH)</w:t>
            </w:r>
          </w:p>
          <w:p w14:paraId="4B7BBD83" w14:textId="77777777" w:rsidR="00456868" w:rsidRPr="002F0252" w:rsidRDefault="00456868" w:rsidP="00337F99">
            <w:r w:rsidRPr="002F0252">
              <w:t>Employees</w:t>
            </w:r>
          </w:p>
          <w:p w14:paraId="652225A0" w14:textId="77777777" w:rsidR="00456868" w:rsidRPr="002F0252" w:rsidRDefault="00456868" w:rsidP="00337F99">
            <w:r w:rsidRPr="002F0252">
              <w:t>Local</w:t>
            </w:r>
          </w:p>
          <w:p w14:paraId="6A0A5F90" w14:textId="77777777" w:rsidR="00456868" w:rsidRPr="002F0252" w:rsidRDefault="00456868" w:rsidP="00337F99">
            <w:r w:rsidRPr="002F0252">
              <w:t>NEET</w:t>
            </w:r>
          </w:p>
          <w:p w14:paraId="2B00FB7E" w14:textId="77777777" w:rsidR="00456868" w:rsidRPr="002F0252" w:rsidRDefault="00456868" w:rsidP="00337F99">
            <w:r w:rsidRPr="002F0252">
              <w:t>Older</w:t>
            </w:r>
          </w:p>
          <w:p w14:paraId="5FBCE4FE" w14:textId="77777777" w:rsidR="00456868" w:rsidRPr="002F0252" w:rsidRDefault="00456868" w:rsidP="00337F99">
            <w:r w:rsidRPr="002F0252">
              <w:t>Recipient*</w:t>
            </w:r>
          </w:p>
          <w:p w14:paraId="6CA9C467" w14:textId="77777777" w:rsidR="00456868" w:rsidRPr="002F0252" w:rsidRDefault="00456868" w:rsidP="00337F99">
            <w:r w:rsidRPr="002F0252">
              <w:t>Social Welfare (MESH)</w:t>
            </w:r>
          </w:p>
          <w:p w14:paraId="47E0A558" w14:textId="77777777" w:rsidR="00456868" w:rsidRPr="002F0252" w:rsidRDefault="00456868" w:rsidP="00337F99">
            <w:r w:rsidRPr="002F0252">
              <w:t>Unemployed</w:t>
            </w:r>
          </w:p>
          <w:p w14:paraId="1033F99D" w14:textId="77777777" w:rsidR="00456868" w:rsidRPr="002F0252" w:rsidRDefault="00456868" w:rsidP="00337F99">
            <w:r w:rsidRPr="002F0252">
              <w:t>Worker*</w:t>
            </w:r>
          </w:p>
          <w:p w14:paraId="34FBAAF1" w14:textId="77777777" w:rsidR="00456868" w:rsidRPr="002F0252" w:rsidRDefault="00456868" w:rsidP="00337F99">
            <w:r w:rsidRPr="002F0252">
              <w:t>Young Adult (MESH)</w:t>
            </w:r>
          </w:p>
          <w:p w14:paraId="35D9AE27" w14:textId="77777777" w:rsidR="00456868" w:rsidRPr="002F0252" w:rsidRDefault="00456868" w:rsidP="00337F99">
            <w:r w:rsidRPr="002F0252">
              <w:t>Welfare N/3 claimant*</w:t>
            </w:r>
          </w:p>
          <w:p w14:paraId="7AFAD665" w14:textId="77777777" w:rsidR="00456868" w:rsidRPr="002F0252" w:rsidRDefault="00456868" w:rsidP="00337F99">
            <w:r w:rsidRPr="002F0252">
              <w:t>(ASSIA proximity operator)</w:t>
            </w:r>
          </w:p>
          <w:p w14:paraId="03FFE4CB" w14:textId="77777777" w:rsidR="00456868" w:rsidRPr="002F0252" w:rsidRDefault="00456868" w:rsidP="00337F99"/>
          <w:p w14:paraId="0AF8FC37" w14:textId="77777777" w:rsidR="00456868" w:rsidRPr="002F0252" w:rsidRDefault="00456868" w:rsidP="00337F99"/>
          <w:p w14:paraId="0CF093DD" w14:textId="77777777" w:rsidR="00456868" w:rsidRPr="002F0252" w:rsidRDefault="00456868" w:rsidP="00337F99"/>
        </w:tc>
        <w:tc>
          <w:tcPr>
            <w:tcW w:w="2649" w:type="dxa"/>
          </w:tcPr>
          <w:p w14:paraId="04653C83" w14:textId="77777777" w:rsidR="00456868" w:rsidRPr="002F0252" w:rsidRDefault="00456868" w:rsidP="00337F99">
            <w:r w:rsidRPr="002F0252">
              <w:t>Activ*</w:t>
            </w:r>
          </w:p>
          <w:p w14:paraId="3ACF1C0C" w14:textId="77777777" w:rsidR="00456868" w:rsidRPr="002F0252" w:rsidRDefault="00456868" w:rsidP="00337F99">
            <w:r w:rsidRPr="002F0252">
              <w:t>Application*</w:t>
            </w:r>
          </w:p>
          <w:p w14:paraId="3673C383" w14:textId="77777777" w:rsidR="00456868" w:rsidRPr="002F0252" w:rsidRDefault="00456868" w:rsidP="00337F99">
            <w:r w:rsidRPr="002F0252">
              <w:t>Competit*</w:t>
            </w:r>
          </w:p>
          <w:p w14:paraId="1220598D" w14:textId="77777777" w:rsidR="00456868" w:rsidRPr="002F0252" w:rsidRDefault="00456868" w:rsidP="00337F99">
            <w:r w:rsidRPr="002F0252">
              <w:t>Contract</w:t>
            </w:r>
          </w:p>
          <w:p w14:paraId="7E182B58" w14:textId="77777777" w:rsidR="00456868" w:rsidRPr="002F0252" w:rsidRDefault="00456868" w:rsidP="00337F99">
            <w:r w:rsidRPr="002F0252">
              <w:t>Earn*</w:t>
            </w:r>
          </w:p>
          <w:p w14:paraId="0043C6DC" w14:textId="77777777" w:rsidR="00456868" w:rsidRPr="002F0252" w:rsidRDefault="00456868" w:rsidP="00337F99">
            <w:r w:rsidRPr="002F0252">
              <w:t>Employ*</w:t>
            </w:r>
          </w:p>
          <w:p w14:paraId="43308B03" w14:textId="77777777" w:rsidR="00456868" w:rsidRPr="002F0252" w:rsidRDefault="00456868" w:rsidP="00337F99">
            <w:r w:rsidRPr="002F0252">
              <w:t>Fit</w:t>
            </w:r>
          </w:p>
          <w:p w14:paraId="3851C88F" w14:textId="77777777" w:rsidR="00456868" w:rsidRPr="002F0252" w:rsidRDefault="00456868" w:rsidP="00337F99">
            <w:r w:rsidRPr="002F0252">
              <w:t>Fitness for work (ASSIA thesaurus)</w:t>
            </w:r>
          </w:p>
          <w:p w14:paraId="3487EF57" w14:textId="77777777" w:rsidR="00456868" w:rsidRPr="002F0252" w:rsidRDefault="00456868" w:rsidP="00337F99">
            <w:r w:rsidRPr="002F0252">
              <w:t>Fitness N3 work</w:t>
            </w:r>
          </w:p>
          <w:p w14:paraId="5DF5AAD4" w14:textId="77777777" w:rsidR="00456868" w:rsidRPr="002F0252" w:rsidRDefault="00456868" w:rsidP="00337F99">
            <w:r w:rsidRPr="002F0252">
              <w:t>“Full time”</w:t>
            </w:r>
          </w:p>
          <w:p w14:paraId="34A77922" w14:textId="77777777" w:rsidR="00456868" w:rsidRPr="002F0252" w:rsidRDefault="00456868" w:rsidP="00337F99">
            <w:r w:rsidRPr="002F0252">
              <w:t>Full time employment (ASSIA Thesaurus)</w:t>
            </w:r>
          </w:p>
          <w:p w14:paraId="17DED955" w14:textId="77777777" w:rsidR="00456868" w:rsidRPr="002F0252" w:rsidRDefault="00456868" w:rsidP="00337F99">
            <w:r w:rsidRPr="002F0252">
              <w:t>Illness*</w:t>
            </w:r>
          </w:p>
          <w:p w14:paraId="5B444C66" w14:textId="77777777" w:rsidR="00456868" w:rsidRPr="002F0252" w:rsidRDefault="00456868" w:rsidP="00337F99">
            <w:r w:rsidRPr="002F0252">
              <w:t>Income</w:t>
            </w:r>
          </w:p>
          <w:p w14:paraId="6633B992" w14:textId="77777777" w:rsidR="00456868" w:rsidRPr="002F0252" w:rsidRDefault="00456868" w:rsidP="00337F99">
            <w:r w:rsidRPr="002F0252">
              <w:t>Initiative</w:t>
            </w:r>
          </w:p>
          <w:p w14:paraId="6963120B" w14:textId="77777777" w:rsidR="00456868" w:rsidRPr="002F0252" w:rsidRDefault="00456868" w:rsidP="00337F99">
            <w:r w:rsidRPr="002F0252">
              <w:t>Job</w:t>
            </w:r>
          </w:p>
          <w:p w14:paraId="18B82171" w14:textId="77777777" w:rsidR="00456868" w:rsidRPr="002F0252" w:rsidRDefault="00456868" w:rsidP="00337F99">
            <w:r w:rsidRPr="002F0252">
              <w:t>Job applicant*</w:t>
            </w:r>
          </w:p>
          <w:p w14:paraId="6AE79FAD" w14:textId="77777777" w:rsidR="00456868" w:rsidRPr="002F0252" w:rsidRDefault="00456868" w:rsidP="00337F99">
            <w:r w:rsidRPr="002F0252">
              <w:t>Job applications (MESH)</w:t>
            </w:r>
          </w:p>
          <w:p w14:paraId="52E58F75" w14:textId="77777777" w:rsidR="00456868" w:rsidRPr="002F0252" w:rsidRDefault="00456868" w:rsidP="00337F99">
            <w:r w:rsidRPr="002F0252">
              <w:t>Job N5 offer</w:t>
            </w:r>
          </w:p>
          <w:p w14:paraId="4BBD4CA7" w14:textId="77777777" w:rsidR="00456868" w:rsidRPr="002F0252" w:rsidRDefault="00456868" w:rsidP="00337F99">
            <w:r w:rsidRPr="002F0252">
              <w:t>“Job seeker”, job seek*</w:t>
            </w:r>
          </w:p>
          <w:p w14:paraId="383271A5" w14:textId="77777777" w:rsidR="00456868" w:rsidRPr="002F0252" w:rsidRDefault="00456868" w:rsidP="00337F99">
            <w:r w:rsidRPr="002F0252">
              <w:t>Job searching (ASSIA thesaurus, explode)</w:t>
            </w:r>
          </w:p>
          <w:p w14:paraId="023E8BA8" w14:textId="77777777" w:rsidR="00456868" w:rsidRPr="002F0252" w:rsidRDefault="00456868" w:rsidP="00337F99">
            <w:r w:rsidRPr="002F0252">
              <w:t>Job  N5 search*</w:t>
            </w:r>
          </w:p>
          <w:p w14:paraId="34804ECD" w14:textId="77777777" w:rsidR="00456868" w:rsidRPr="002F0252" w:rsidRDefault="00456868" w:rsidP="00337F99">
            <w:r w:rsidRPr="002F0252">
              <w:t>“mental health”</w:t>
            </w:r>
          </w:p>
          <w:p w14:paraId="395BCCBE" w14:textId="77777777" w:rsidR="00456868" w:rsidRPr="002F0252" w:rsidRDefault="00456868" w:rsidP="00337F99">
            <w:r w:rsidRPr="002F0252">
              <w:t>Occupations (MESH)</w:t>
            </w:r>
          </w:p>
          <w:p w14:paraId="11CA5D55" w14:textId="77777777" w:rsidR="00456868" w:rsidRPr="002F0252" w:rsidRDefault="00456868" w:rsidP="00337F99">
            <w:r w:rsidRPr="002F0252">
              <w:t>Off N5 sick</w:t>
            </w:r>
          </w:p>
          <w:p w14:paraId="1B6B4439" w14:textId="77777777" w:rsidR="00456868" w:rsidRPr="002F0252" w:rsidRDefault="00456868" w:rsidP="00337F99">
            <w:r w:rsidRPr="002F0252">
              <w:t>“Part time”</w:t>
            </w:r>
          </w:p>
          <w:p w14:paraId="7D24F6FA" w14:textId="77777777" w:rsidR="00456868" w:rsidRPr="002F0252" w:rsidRDefault="00456868" w:rsidP="00337F99">
            <w:r w:rsidRPr="002F0252">
              <w:t>Part Time employment (ASSIA Thesaurus)</w:t>
            </w:r>
          </w:p>
          <w:p w14:paraId="0E23BE79" w14:textId="77777777" w:rsidR="00456868" w:rsidRPr="002F0252" w:rsidRDefault="00456868" w:rsidP="00337F99">
            <w:r w:rsidRPr="002F0252">
              <w:t>Productivity</w:t>
            </w:r>
          </w:p>
          <w:p w14:paraId="0C4EDFEF" w14:textId="77777777" w:rsidR="00456868" w:rsidRPr="002F0252" w:rsidRDefault="00456868" w:rsidP="00337F99">
            <w:r w:rsidRPr="002F0252">
              <w:t>Prosperity</w:t>
            </w:r>
          </w:p>
          <w:p w14:paraId="48F17B3C" w14:textId="77777777" w:rsidR="00456868" w:rsidRPr="002F0252" w:rsidRDefault="00456868" w:rsidP="00337F99">
            <w:r w:rsidRPr="002F0252">
              <w:t>Quality of life</w:t>
            </w:r>
          </w:p>
          <w:p w14:paraId="73119B77" w14:textId="77777777" w:rsidR="00456868" w:rsidRPr="002F0252" w:rsidRDefault="00456868" w:rsidP="00337F99">
            <w:r w:rsidRPr="002F0252">
              <w:t>Remploy</w:t>
            </w:r>
          </w:p>
          <w:p w14:paraId="058608F0" w14:textId="77777777" w:rsidR="00456868" w:rsidRPr="002F0252" w:rsidRDefault="00456868" w:rsidP="00337F99">
            <w:r w:rsidRPr="002F0252">
              <w:t>Salary</w:t>
            </w:r>
          </w:p>
          <w:p w14:paraId="02119776" w14:textId="77777777" w:rsidR="00456868" w:rsidRPr="002F0252" w:rsidRDefault="00456868" w:rsidP="00337F99">
            <w:r w:rsidRPr="002F0252">
              <w:t>Salari*</w:t>
            </w:r>
          </w:p>
          <w:p w14:paraId="77EC4D26" w14:textId="77777777" w:rsidR="00456868" w:rsidRPr="002F0252" w:rsidRDefault="00456868" w:rsidP="00337F99">
            <w:r w:rsidRPr="002F0252">
              <w:t>School leavers (ASSIA)</w:t>
            </w:r>
          </w:p>
          <w:p w14:paraId="3F58AF5B" w14:textId="77777777" w:rsidR="00456868" w:rsidRPr="002F0252" w:rsidRDefault="00456868" w:rsidP="00337F99">
            <w:r w:rsidRPr="002F0252">
              <w:lastRenderedPageBreak/>
              <w:t>“School leaver*”</w:t>
            </w:r>
          </w:p>
          <w:p w14:paraId="484C0CE6" w14:textId="77777777" w:rsidR="00456868" w:rsidRPr="002F0252" w:rsidRDefault="00456868" w:rsidP="00337F99">
            <w:r w:rsidRPr="002F0252">
              <w:t>Seeker</w:t>
            </w:r>
          </w:p>
          <w:p w14:paraId="2897C167" w14:textId="77777777" w:rsidR="00456868" w:rsidRPr="002F0252" w:rsidRDefault="00456868" w:rsidP="00337F99">
            <w:r w:rsidRPr="002F0252">
              <w:t>Seek* N5 work</w:t>
            </w:r>
          </w:p>
          <w:p w14:paraId="60E34AD5" w14:textId="77777777" w:rsidR="00456868" w:rsidRPr="002F0252" w:rsidRDefault="00456868" w:rsidP="00337F99">
            <w:r w:rsidRPr="002F0252">
              <w:t>Sick day*</w:t>
            </w:r>
          </w:p>
          <w:p w14:paraId="0ABAB2FC" w14:textId="77777777" w:rsidR="00456868" w:rsidRPr="002F0252" w:rsidRDefault="00456868" w:rsidP="00337F99">
            <w:r w:rsidRPr="002F0252">
              <w:t>Sick leave</w:t>
            </w:r>
          </w:p>
          <w:p w14:paraId="37712CB6" w14:textId="77777777" w:rsidR="00456868" w:rsidRPr="002F0252" w:rsidRDefault="00456868" w:rsidP="00337F99">
            <w:r w:rsidRPr="002F0252">
              <w:t>Sick N5 leave</w:t>
            </w:r>
          </w:p>
          <w:p w14:paraId="0BCD20AE" w14:textId="77777777" w:rsidR="00456868" w:rsidRPr="002F0252" w:rsidRDefault="00456868" w:rsidP="00337F99">
            <w:r w:rsidRPr="002F0252">
              <w:t>Sickness</w:t>
            </w:r>
          </w:p>
          <w:p w14:paraId="576B6F87" w14:textId="77777777" w:rsidR="00456868" w:rsidRPr="002F0252" w:rsidRDefault="00456868" w:rsidP="00337F99">
            <w:r w:rsidRPr="002F0252">
              <w:t>Support</w:t>
            </w:r>
          </w:p>
          <w:p w14:paraId="4FA27059" w14:textId="77777777" w:rsidR="00456868" w:rsidRPr="002F0252" w:rsidRDefault="00456868" w:rsidP="00337F99">
            <w:r w:rsidRPr="002F0252">
              <w:t>Underemployment</w:t>
            </w:r>
          </w:p>
          <w:p w14:paraId="25BCEC29" w14:textId="77777777" w:rsidR="00456868" w:rsidRPr="002F0252" w:rsidRDefault="00456868" w:rsidP="00337F99">
            <w:r w:rsidRPr="002F0252">
              <w:t>Unemployment</w:t>
            </w:r>
          </w:p>
          <w:p w14:paraId="5BBCB4F6" w14:textId="77777777" w:rsidR="00456868" w:rsidRPr="002F0252" w:rsidRDefault="00456868" w:rsidP="00337F99">
            <w:r w:rsidRPr="002F0252">
              <w:t>Wages</w:t>
            </w:r>
          </w:p>
          <w:p w14:paraId="717739ED" w14:textId="77777777" w:rsidR="00456868" w:rsidRPr="002F0252" w:rsidRDefault="00456868" w:rsidP="00337F99">
            <w:r w:rsidRPr="002F0252">
              <w:t>Wellbeing</w:t>
            </w:r>
          </w:p>
          <w:p w14:paraId="05F61CE8" w14:textId="77777777" w:rsidR="00456868" w:rsidRPr="002F0252" w:rsidRDefault="00456868" w:rsidP="00337F99">
            <w:r w:rsidRPr="002F0252">
              <w:t>Work*</w:t>
            </w:r>
          </w:p>
          <w:p w14:paraId="4DBFA1A9" w14:textId="77777777" w:rsidR="00456868" w:rsidRPr="002F0252" w:rsidRDefault="00456868" w:rsidP="00337F99">
            <w:r w:rsidRPr="002F0252">
              <w:t>Worklessness</w:t>
            </w:r>
          </w:p>
        </w:tc>
        <w:tc>
          <w:tcPr>
            <w:tcW w:w="4297" w:type="dxa"/>
          </w:tcPr>
          <w:p w14:paraId="4BA99EC5" w14:textId="77777777" w:rsidR="00456868" w:rsidRPr="002F0252" w:rsidRDefault="00456868" w:rsidP="00337F99">
            <w:r w:rsidRPr="002F0252">
              <w:lastRenderedPageBreak/>
              <w:t>Cost analys*</w:t>
            </w:r>
          </w:p>
          <w:p w14:paraId="453CC541" w14:textId="77777777" w:rsidR="00456868" w:rsidRPr="002F0252" w:rsidRDefault="00456868" w:rsidP="00337F99">
            <w:r w:rsidRPr="002F0252">
              <w:t>Cost benefit</w:t>
            </w:r>
          </w:p>
          <w:p w14:paraId="476838B6" w14:textId="77777777" w:rsidR="00456868" w:rsidRPr="002F0252" w:rsidRDefault="00456868" w:rsidP="00337F99">
            <w:r w:rsidRPr="002F0252">
              <w:t>Cost effectiv*</w:t>
            </w:r>
          </w:p>
          <w:p w14:paraId="04547FC1" w14:textId="77777777" w:rsidR="00456868" w:rsidRPr="002F0252" w:rsidRDefault="00456868" w:rsidP="00337F99">
            <w:r w:rsidRPr="002F0252">
              <w:t>Cost effective* analys*</w:t>
            </w:r>
          </w:p>
          <w:p w14:paraId="38B5B63A" w14:textId="77777777" w:rsidR="00456868" w:rsidRPr="002F0252" w:rsidRDefault="00456868" w:rsidP="00337F99">
            <w:r w:rsidRPr="002F0252">
              <w:t>Cost utilit*</w:t>
            </w:r>
          </w:p>
          <w:p w14:paraId="2E1CA1DE" w14:textId="77777777" w:rsidR="00456868" w:rsidRPr="002F0252" w:rsidRDefault="00456868" w:rsidP="00337F99">
            <w:r w:rsidRPr="002F0252">
              <w:t>Cost-effectiv*</w:t>
            </w:r>
          </w:p>
          <w:p w14:paraId="1B7A907A" w14:textId="77777777" w:rsidR="00456868" w:rsidRPr="002F0252" w:rsidRDefault="00456868" w:rsidP="00337F99">
            <w:r w:rsidRPr="002F0252">
              <w:t>Cost-utilit*</w:t>
            </w:r>
          </w:p>
          <w:p w14:paraId="48054F18" w14:textId="77777777" w:rsidR="00456868" w:rsidRPr="002F0252" w:rsidRDefault="00456868" w:rsidP="00337F99">
            <w:r w:rsidRPr="002F0252">
              <w:t>cost-consequence</w:t>
            </w:r>
          </w:p>
          <w:p w14:paraId="0EB81D18" w14:textId="77777777" w:rsidR="00456868" w:rsidRPr="002F0252" w:rsidRDefault="00456868" w:rsidP="00337F99">
            <w:r w:rsidRPr="002F0252">
              <w:t>cost consequence</w:t>
            </w:r>
          </w:p>
          <w:p w14:paraId="4840DF3C" w14:textId="77777777" w:rsidR="00456868" w:rsidRPr="002F0252" w:rsidRDefault="00456868" w:rsidP="00337F99">
            <w:r w:rsidRPr="002F0252">
              <w:t>Cost savings/</w:t>
            </w:r>
          </w:p>
          <w:p w14:paraId="7BC0DF81" w14:textId="77777777" w:rsidR="00456868" w:rsidRPr="002F0252" w:rsidRDefault="00456868" w:rsidP="00337F99">
            <w:r w:rsidRPr="002F0252">
              <w:t>Economic analys*</w:t>
            </w:r>
          </w:p>
          <w:p w14:paraId="314B487B" w14:textId="77777777" w:rsidR="00456868" w:rsidRPr="002F0252" w:rsidRDefault="00456868" w:rsidP="00337F99">
            <w:r w:rsidRPr="002F0252">
              <w:t>Economic evaluation*</w:t>
            </w:r>
          </w:p>
          <w:p w14:paraId="302870D3" w14:textId="77777777" w:rsidR="00456868" w:rsidRPr="002F0252" w:rsidRDefault="00456868" w:rsidP="00337F99">
            <w:r w:rsidRPr="002F0252">
              <w:t>Economic review</w:t>
            </w:r>
          </w:p>
          <w:p w14:paraId="1A7D15D6" w14:textId="77777777" w:rsidR="00456868" w:rsidRPr="002F0252" w:rsidRDefault="00456868" w:rsidP="00337F99">
            <w:r w:rsidRPr="002F0252">
              <w:t>Economics</w:t>
            </w:r>
          </w:p>
          <w:p w14:paraId="4BBB7BA6" w14:textId="77777777" w:rsidR="00456868" w:rsidRPr="002F0252" w:rsidRDefault="00456868" w:rsidP="00337F99">
            <w:r w:rsidRPr="002F0252">
              <w:t>High adj. cost</w:t>
            </w:r>
          </w:p>
          <w:p w14:paraId="72835F07" w14:textId="77777777" w:rsidR="00456868" w:rsidRPr="002F0252" w:rsidRDefault="00456868" w:rsidP="00337F99">
            <w:r w:rsidRPr="002F0252">
              <w:t>Impact analys*</w:t>
            </w:r>
          </w:p>
          <w:p w14:paraId="34E17393" w14:textId="77777777" w:rsidR="00456868" w:rsidRPr="002F0252" w:rsidRDefault="00456868" w:rsidP="00337F99">
            <w:r w:rsidRPr="002F0252">
              <w:t>Low adj. cost</w:t>
            </w:r>
          </w:p>
          <w:p w14:paraId="481B94C3" w14:textId="77777777" w:rsidR="00456868" w:rsidRPr="002F0252" w:rsidRDefault="00456868" w:rsidP="00337F99">
            <w:r w:rsidRPr="002F0252">
              <w:t>Markov</w:t>
            </w:r>
          </w:p>
          <w:p w14:paraId="6526C5D1" w14:textId="77777777" w:rsidR="00456868" w:rsidRPr="002F0252" w:rsidRDefault="00456868" w:rsidP="00337F99">
            <w:r w:rsidRPr="002F0252">
              <w:t>QALY</w:t>
            </w:r>
          </w:p>
          <w:p w14:paraId="1B7FDFFC" w14:textId="77777777" w:rsidR="00456868" w:rsidRPr="002F0252" w:rsidRDefault="00456868" w:rsidP="00337F99">
            <w:r w:rsidRPr="002F0252">
              <w:t>Quality adjusted life year</w:t>
            </w:r>
          </w:p>
          <w:p w14:paraId="13C08018" w14:textId="77777777" w:rsidR="00456868" w:rsidRPr="002F0252" w:rsidRDefault="00456868" w:rsidP="00337F99">
            <w:r w:rsidRPr="002F0252">
              <w:t>Quality-adjusted life year</w:t>
            </w:r>
          </w:p>
          <w:p w14:paraId="5AFEDF60" w14:textId="77777777" w:rsidR="00456868" w:rsidRPr="002F0252" w:rsidRDefault="00456868" w:rsidP="00337F99">
            <w:r w:rsidRPr="002F0252">
              <w:t>Return on investment</w:t>
            </w:r>
          </w:p>
          <w:p w14:paraId="7ECC4ABA" w14:textId="77777777" w:rsidR="00456868" w:rsidRPr="002F0252" w:rsidRDefault="00456868" w:rsidP="00337F99">
            <w:r w:rsidRPr="002F0252">
              <w:t>Social return on investment</w:t>
            </w:r>
          </w:p>
          <w:p w14:paraId="7E5BAE23" w14:textId="77777777" w:rsidR="00456868" w:rsidRPr="002F0252" w:rsidRDefault="00456868" w:rsidP="00337F99">
            <w:r w:rsidRPr="002F0252">
              <w:t>Budget impact analy*</w:t>
            </w:r>
          </w:p>
          <w:p w14:paraId="1E347C90" w14:textId="77777777" w:rsidR="00456868" w:rsidRPr="002F0252" w:rsidRDefault="00456868" w:rsidP="00337F99"/>
        </w:tc>
      </w:tr>
    </w:tbl>
    <w:p w14:paraId="09BBE91C" w14:textId="77777777" w:rsidR="00456868" w:rsidRPr="002F0252" w:rsidRDefault="00456868" w:rsidP="00456868">
      <w:pPr>
        <w:spacing w:line="276" w:lineRule="auto"/>
        <w:ind w:left="720"/>
        <w:contextualSpacing/>
      </w:pPr>
    </w:p>
    <w:p w14:paraId="08EA7AC4" w14:textId="77777777" w:rsidR="00456868" w:rsidRPr="002F0252" w:rsidRDefault="00456868" w:rsidP="00456868">
      <w:pPr>
        <w:rPr>
          <w:b/>
          <w:sz w:val="28"/>
          <w:szCs w:val="28"/>
        </w:rPr>
      </w:pPr>
      <w:r w:rsidRPr="002F0252">
        <w:rPr>
          <w:b/>
          <w:sz w:val="28"/>
          <w:szCs w:val="28"/>
        </w:rPr>
        <w:t>Moving people into employment</w:t>
      </w:r>
    </w:p>
    <w:p w14:paraId="26746F65" w14:textId="77777777" w:rsidR="00456868" w:rsidRPr="002F0252" w:rsidRDefault="00456868" w:rsidP="00456868"/>
    <w:p w14:paraId="5BE24663" w14:textId="77777777" w:rsidR="00456868" w:rsidRPr="002F0252" w:rsidRDefault="00456868" w:rsidP="00456868">
      <w:pPr>
        <w:rPr>
          <w:b/>
        </w:rPr>
      </w:pPr>
      <w:r w:rsidRPr="002F0252">
        <w:rPr>
          <w:b/>
        </w:rPr>
        <w:t>Population</w:t>
      </w:r>
    </w:p>
    <w:p w14:paraId="12B335DC" w14:textId="77777777" w:rsidR="00456868" w:rsidRPr="002F0252" w:rsidRDefault="00456868" w:rsidP="00456868">
      <w:pPr>
        <w:jc w:val="center"/>
      </w:pPr>
      <w:r w:rsidRPr="002F0252">
        <w:t>“Benefit” OR “Disab*” OR “Disabled Persons” 1OR “Employees” OR “Local” OR “NEET” OR “Older” OR “Recipient*” OR “Social Welfare” OR “Unemployed” OR “Worker*” OR “Young Adult” OR “Welfare N/3 claimant*”</w:t>
      </w:r>
    </w:p>
    <w:p w14:paraId="0025F000" w14:textId="77777777" w:rsidR="00456868" w:rsidRPr="002F0252" w:rsidRDefault="00456868" w:rsidP="00456868"/>
    <w:p w14:paraId="4A74D085" w14:textId="77777777" w:rsidR="00456868" w:rsidRPr="002F0252" w:rsidRDefault="00456868" w:rsidP="00456868">
      <w:pPr>
        <w:rPr>
          <w:b/>
        </w:rPr>
      </w:pPr>
      <w:r w:rsidRPr="002F0252">
        <w:rPr>
          <w:b/>
        </w:rPr>
        <w:t>Intervention</w:t>
      </w:r>
    </w:p>
    <w:p w14:paraId="7E7051B6" w14:textId="77777777" w:rsidR="00456868" w:rsidRPr="002F0252" w:rsidRDefault="00456868" w:rsidP="00456868">
      <w:pPr>
        <w:jc w:val="center"/>
        <w:rPr>
          <w:b/>
        </w:rPr>
      </w:pPr>
      <w:r w:rsidRPr="002F0252">
        <w:t>“Absence” OR “Activ*” OR “Application*” OR “Competit*” OR “Contract” OR “Day*” OR “Earn*” OR “Employ*” OR “Fitness for work” OR “Fitness N3 work” OR “Full time” OR “Full time employment” OR “Illness*” OR “Income” OR “Initiative” OR “Job” OR “Job applicant*” OR “Job applications” OR “Job N5 offer” OR “Job seeker” OR “job seek*” OR “Job searching” OR “Job  N5 search*” OR “mental health” OR “Occupations” OR “Off N5 sick” OR “Part time” OR “Part time employment” OR “Productivity” OR “Prosperity” OR “Quality of life” OR “Remploy” OR “Salary” OR “Salari*” OR “School leavers” OR “School leaver*” OR “Seeker” OR “Seek* N5 work” OR “Sick day*” OR “Sick leave” OR “Sick N5 leave” OR “Sickness” OR “Support” OR “Underemployment” OR “Unemployment” OR “Wages” OR “Wellbeing” OR “Work*” OR “Worklessness”</w:t>
      </w:r>
    </w:p>
    <w:p w14:paraId="35FBA1B6" w14:textId="77777777" w:rsidR="00456868" w:rsidRPr="002F0252" w:rsidRDefault="00456868" w:rsidP="00456868">
      <w:pPr>
        <w:jc w:val="center"/>
      </w:pPr>
    </w:p>
    <w:p w14:paraId="1177A0DB" w14:textId="77777777" w:rsidR="00456868" w:rsidRPr="002F0252" w:rsidRDefault="00456868" w:rsidP="00456868">
      <w:pPr>
        <w:rPr>
          <w:b/>
        </w:rPr>
      </w:pPr>
      <w:r w:rsidRPr="002F0252">
        <w:rPr>
          <w:b/>
        </w:rPr>
        <w:t>Economic terms</w:t>
      </w:r>
    </w:p>
    <w:p w14:paraId="3562ADF4" w14:textId="77777777" w:rsidR="00456868" w:rsidRPr="002F0252" w:rsidRDefault="00456868" w:rsidP="00456868">
      <w:pPr>
        <w:jc w:val="center"/>
      </w:pPr>
      <w:r w:rsidRPr="002F0252">
        <w:t xml:space="preserve">“Cost analys*” OR “Cost benefit” OR “Cost effectiv*” OR “Cost effective* analys*” OR “Cost utilit*” OR “Cost-effectiv*” OR “Cost-utilit*” OR “cost-consequence” OR “cost consequence” OR “Cost savings” OR “Economic analys*” OR “Economic evaluation*” OR “Economic review” OR “Economics” OR “High adj. cost” OR “Impact analys*” OR “Low adj. cost” OR “Markov” OR “QALY” OR “Quality adjusted life year” </w:t>
      </w:r>
      <w:r w:rsidRPr="002F0252">
        <w:lastRenderedPageBreak/>
        <w:t>OR “Quality-adjusted life year” OR “Return on investment” OR “Social return on investment” OR “Budget impact analy*”</w:t>
      </w:r>
    </w:p>
    <w:p w14:paraId="25B82C8E" w14:textId="77777777" w:rsidR="00556C47" w:rsidRPr="002F0252" w:rsidRDefault="00556C47" w:rsidP="00456868">
      <w:pPr>
        <w:jc w:val="center"/>
      </w:pPr>
    </w:p>
    <w:p w14:paraId="2591FEEE" w14:textId="618855DE" w:rsidR="007002AE" w:rsidRPr="002F0252" w:rsidRDefault="007002AE">
      <w:r w:rsidRPr="002F0252">
        <w:br w:type="page"/>
      </w:r>
    </w:p>
    <w:p w14:paraId="2949A392" w14:textId="66910C96" w:rsidR="007002AE" w:rsidRPr="002F0252" w:rsidRDefault="00CB756A" w:rsidP="00CB756A">
      <w:pPr>
        <w:pStyle w:val="Heading1"/>
        <w:numPr>
          <w:ilvl w:val="0"/>
          <w:numId w:val="0"/>
        </w:numPr>
        <w:ind w:left="432" w:hanging="432"/>
      </w:pPr>
      <w:bookmarkStart w:id="4" w:name="_Toc536101103"/>
      <w:r>
        <w:lastRenderedPageBreak/>
        <w:t>3</w:t>
      </w:r>
      <w:r w:rsidR="007002AE" w:rsidRPr="002F0252">
        <w:tab/>
      </w:r>
      <w:bookmarkEnd w:id="4"/>
      <w:r w:rsidR="007002AE" w:rsidRPr="002F0252">
        <w:t xml:space="preserve">Summary of </w:t>
      </w:r>
      <w:r w:rsidR="002F0B69" w:rsidRPr="002F0252">
        <w:t xml:space="preserve">rapid review </w:t>
      </w:r>
      <w:r w:rsidR="007002AE" w:rsidRPr="002F0252">
        <w:t>search (PRISMA type figure)</w:t>
      </w:r>
    </w:p>
    <w:p w14:paraId="78FE10ED" w14:textId="3C615EA0" w:rsidR="001125E2" w:rsidRPr="002F0252" w:rsidRDefault="001125E2" w:rsidP="001125E2">
      <w:r w:rsidRPr="002F0252">
        <w:rPr>
          <w:noProof/>
        </w:rPr>
        <mc:AlternateContent>
          <mc:Choice Requires="wps">
            <w:drawing>
              <wp:anchor distT="0" distB="0" distL="114300" distR="114300" simplePos="0" relativeHeight="251659264" behindDoc="0" locked="0" layoutInCell="1" allowOverlap="1" wp14:anchorId="0955D720" wp14:editId="1771B576">
                <wp:simplePos x="0" y="0"/>
                <wp:positionH relativeFrom="column">
                  <wp:posOffset>342900</wp:posOffset>
                </wp:positionH>
                <wp:positionV relativeFrom="paragraph">
                  <wp:posOffset>811530</wp:posOffset>
                </wp:positionV>
                <wp:extent cx="2781300" cy="682625"/>
                <wp:effectExtent l="9525" t="9525" r="9525" b="1270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682625"/>
                        </a:xfrm>
                        <a:prstGeom prst="rect">
                          <a:avLst/>
                        </a:prstGeom>
                        <a:solidFill>
                          <a:srgbClr val="FFFFFF"/>
                        </a:solidFill>
                        <a:ln w="9525">
                          <a:solidFill>
                            <a:srgbClr val="000000"/>
                          </a:solidFill>
                          <a:miter lim="800000"/>
                          <a:headEnd/>
                          <a:tailEnd/>
                        </a:ln>
                      </wps:spPr>
                      <wps:txbx>
                        <w:txbxContent>
                          <w:p w14:paraId="1B64533A" w14:textId="77777777" w:rsidR="00C2176C" w:rsidRDefault="00C2176C" w:rsidP="001125E2">
                            <w:pPr>
                              <w:jc w:val="center"/>
                              <w:rPr>
                                <w:rFonts w:ascii="Calibri" w:hAnsi="Calibri"/>
                                <w:sz w:val="22"/>
                                <w:szCs w:val="22"/>
                                <w:lang w:val="en"/>
                              </w:rPr>
                            </w:pPr>
                            <w:r>
                              <w:rPr>
                                <w:rFonts w:ascii="Calibri" w:hAnsi="Calibri"/>
                                <w:sz w:val="22"/>
                                <w:szCs w:val="22"/>
                              </w:rPr>
                              <w:t xml:space="preserve">Records identified through library database searching and grey literature searching </w:t>
                            </w:r>
                            <w:r>
                              <w:rPr>
                                <w:rFonts w:ascii="Calibri" w:hAnsi="Calibri"/>
                                <w:sz w:val="22"/>
                                <w:szCs w:val="22"/>
                              </w:rPr>
                              <w:br/>
                              <w:t>(n = 1751)</w:t>
                            </w:r>
                          </w:p>
                          <w:p w14:paraId="72D99E46" w14:textId="77777777" w:rsidR="00C2176C" w:rsidRDefault="00C2176C" w:rsidP="001125E2">
                            <w:pPr>
                              <w:jc w:val="center"/>
                              <w:rPr>
                                <w:rFonts w:ascii="Calibri" w:hAnsi="Calibri"/>
                                <w:sz w:val="22"/>
                                <w:szCs w:val="22"/>
                                <w:lang w:val="e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5D720" id="Rectangle 23" o:spid="_x0000_s1026" style="position:absolute;margin-left:27pt;margin-top:63.9pt;width:219pt;height: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">
                <v:textbox inset=",7.2pt,,7.2pt">
                  <w:txbxContent>
                    <w:p w14:paraId="1B64533A" w14:textId="77777777" w:rsidR="00C2176C" w:rsidRDefault="00C2176C" w:rsidP="001125E2">
                      <w:pPr>
                        <w:jc w:val="center"/>
                        <w:rPr>
                          <w:rFonts w:ascii="Calibri" w:hAnsi="Calibri"/>
                          <w:sz w:val="22"/>
                          <w:szCs w:val="22"/>
                          <w:lang w:val="en"/>
                        </w:rPr>
                      </w:pPr>
                      <w:r>
                        <w:rPr>
                          <w:rFonts w:ascii="Calibri" w:hAnsi="Calibri"/>
                          <w:sz w:val="22"/>
                          <w:szCs w:val="22"/>
                        </w:rPr>
                        <w:t xml:space="preserve">Records identified through library database searching and grey literature searching </w:t>
                      </w:r>
                      <w:r>
                        <w:rPr>
                          <w:rFonts w:ascii="Calibri" w:hAnsi="Calibri"/>
                          <w:sz w:val="22"/>
                          <w:szCs w:val="22"/>
                        </w:rPr>
                        <w:br/>
                        <w:t>(n = 1751)</w:t>
                      </w:r>
                    </w:p>
                    <w:p w14:paraId="72D99E46" w14:textId="77777777" w:rsidR="00C2176C" w:rsidRDefault="00C2176C" w:rsidP="001125E2">
                      <w:pPr>
                        <w:jc w:val="center"/>
                        <w:rPr>
                          <w:rFonts w:ascii="Calibri" w:hAnsi="Calibri"/>
                          <w:sz w:val="22"/>
                          <w:szCs w:val="22"/>
                          <w:lang w:val="en"/>
                        </w:rPr>
                      </w:pPr>
                    </w:p>
                  </w:txbxContent>
                </v:textbox>
              </v:rect>
            </w:pict>
          </mc:Fallback>
        </mc:AlternateContent>
      </w:r>
      <w:r w:rsidRPr="002F0252">
        <w:rPr>
          <w:noProof/>
        </w:rPr>
        <mc:AlternateContent>
          <mc:Choice Requires="wps">
            <w:drawing>
              <wp:anchor distT="0" distB="0" distL="114300" distR="114300" simplePos="0" relativeHeight="251665408" behindDoc="0" locked="0" layoutInCell="1" allowOverlap="1" wp14:anchorId="295D86FA" wp14:editId="3BAAECE3">
                <wp:simplePos x="0" y="0"/>
                <wp:positionH relativeFrom="column">
                  <wp:posOffset>812800</wp:posOffset>
                </wp:positionH>
                <wp:positionV relativeFrom="paragraph">
                  <wp:posOffset>1992630</wp:posOffset>
                </wp:positionV>
                <wp:extent cx="1670050" cy="571500"/>
                <wp:effectExtent l="12700" t="9525" r="12700" b="952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571500"/>
                        </a:xfrm>
                        <a:prstGeom prst="rect">
                          <a:avLst/>
                        </a:prstGeom>
                        <a:solidFill>
                          <a:srgbClr val="FFFFFF"/>
                        </a:solidFill>
                        <a:ln w="9525">
                          <a:solidFill>
                            <a:srgbClr val="000000"/>
                          </a:solidFill>
                          <a:miter lim="800000"/>
                          <a:headEnd/>
                          <a:tailEnd/>
                        </a:ln>
                      </wps:spPr>
                      <wps:txbx>
                        <w:txbxContent>
                          <w:p w14:paraId="2199EB34" w14:textId="3C9764D1" w:rsidR="00C2176C" w:rsidRDefault="00C2176C" w:rsidP="001125E2">
                            <w:pPr>
                              <w:jc w:val="center"/>
                              <w:rPr>
                                <w:rFonts w:ascii="Calibri" w:hAnsi="Calibri"/>
                                <w:sz w:val="22"/>
                                <w:szCs w:val="22"/>
                                <w:lang w:val="en"/>
                              </w:rPr>
                            </w:pPr>
                            <w:r>
                              <w:rPr>
                                <w:rFonts w:ascii="Calibri" w:hAnsi="Calibri"/>
                                <w:sz w:val="22"/>
                                <w:szCs w:val="22"/>
                              </w:rPr>
                              <w:t>Records screened (titles)</w:t>
                            </w:r>
                            <w:r>
                              <w:rPr>
                                <w:rFonts w:ascii="Calibri" w:hAnsi="Calibri"/>
                                <w:sz w:val="22"/>
                                <w:szCs w:val="22"/>
                              </w:rPr>
                              <w:br/>
                              <w:t>(n = 1751)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D86FA" id="Rectangle 21" o:spid="_x0000_s1027" style="position:absolute;margin-left:64pt;margin-top:156.9pt;width:131.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">
                <v:textbox inset=",7.2pt,,7.2pt">
                  <w:txbxContent>
                    <w:p w14:paraId="2199EB34" w14:textId="3C9764D1" w:rsidR="00C2176C" w:rsidRDefault="00C2176C" w:rsidP="001125E2">
                      <w:pPr>
                        <w:jc w:val="center"/>
                        <w:rPr>
                          <w:rFonts w:ascii="Calibri" w:hAnsi="Calibri"/>
                          <w:sz w:val="22"/>
                          <w:szCs w:val="22"/>
                          <w:lang w:val="en"/>
                        </w:rPr>
                      </w:pPr>
                      <w:r>
                        <w:rPr>
                          <w:rFonts w:ascii="Calibri" w:hAnsi="Calibri"/>
                          <w:sz w:val="22"/>
                          <w:szCs w:val="22"/>
                        </w:rPr>
                        <w:t>Records screened (titles</w:t>
                      </w:r>
                      <w:proofErr w:type="gramStart"/>
                      <w:r>
                        <w:rPr>
                          <w:rFonts w:ascii="Calibri" w:hAnsi="Calibri"/>
                          <w:sz w:val="22"/>
                          <w:szCs w:val="22"/>
                        </w:rPr>
                        <w:t>)</w:t>
                      </w:r>
                      <w:proofErr w:type="gramEnd"/>
                      <w:r>
                        <w:rPr>
                          <w:rFonts w:ascii="Calibri" w:hAnsi="Calibri"/>
                          <w:sz w:val="22"/>
                          <w:szCs w:val="22"/>
                        </w:rPr>
                        <w:br/>
                        <w:t>(n = 1751)</w:t>
                      </w:r>
                    </w:p>
                  </w:txbxContent>
                </v:textbox>
              </v:rect>
            </w:pict>
          </mc:Fallback>
        </mc:AlternateContent>
      </w:r>
      <w:r w:rsidRPr="002F0252">
        <w:rPr>
          <w:noProof/>
        </w:rPr>
        <mc:AlternateContent>
          <mc:Choice Requires="wps">
            <w:drawing>
              <wp:anchor distT="36576" distB="36576" distL="36576" distR="36576" simplePos="0" relativeHeight="251663360" behindDoc="0" locked="0" layoutInCell="1" allowOverlap="1" wp14:anchorId="728743A3" wp14:editId="02951B2B">
                <wp:simplePos x="0" y="0"/>
                <wp:positionH relativeFrom="column">
                  <wp:posOffset>1600200</wp:posOffset>
                </wp:positionH>
                <wp:positionV relativeFrom="paragraph">
                  <wp:posOffset>1497330</wp:posOffset>
                </wp:positionV>
                <wp:extent cx="0" cy="457200"/>
                <wp:effectExtent l="57150" t="9525" r="5715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4D4B7C7" id="_x0000_t32" coordsize="21600,21600" o:spt="32" o:oned="t" path="m,l21600,21600e" filled="f">
                <v:path arrowok="t" fillok="f" o:connecttype="none"/>
                <o:lock v:ext="edit" shapetype="t"/>
              </v:shapetype>
              <v:shape id="Straight Arrow Connector 19" o:spid="_x0000_s1026" type="#_x0000_t32" style="position:absolute;margin-left:126pt;margin-top:117.9pt;width:0;height:36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">
                <v:stroke endarrow="block"/>
                <v:shadow color="#ccc"/>
              </v:shape>
            </w:pict>
          </mc:Fallback>
        </mc:AlternateContent>
      </w:r>
    </w:p>
    <w:p w14:paraId="3EF4846A" w14:textId="07822A5F" w:rsidR="007002AE" w:rsidRPr="002F0252" w:rsidRDefault="007002AE" w:rsidP="007002AE">
      <w:pPr>
        <w:pStyle w:val="Heading2"/>
        <w:numPr>
          <w:ilvl w:val="0"/>
          <w:numId w:val="0"/>
        </w:numPr>
        <w:rPr>
          <w:color w:val="auto"/>
          <w:lang w:val="en-GB"/>
        </w:rPr>
      </w:pPr>
    </w:p>
    <w:p w14:paraId="27A03CA1" w14:textId="6C1E80C3" w:rsidR="001125E2" w:rsidRPr="002F0252" w:rsidRDefault="001125E2" w:rsidP="007002AE">
      <w:pPr>
        <w:pStyle w:val="Heading2"/>
        <w:numPr>
          <w:ilvl w:val="0"/>
          <w:numId w:val="0"/>
        </w:numPr>
        <w:rPr>
          <w:color w:val="auto"/>
          <w:lang w:val="en-GB"/>
        </w:rPr>
      </w:pPr>
    </w:p>
    <w:p w14:paraId="3EC779D1" w14:textId="207BB10C" w:rsidR="001125E2" w:rsidRPr="002F0252" w:rsidRDefault="001125E2" w:rsidP="007002AE">
      <w:pPr>
        <w:pStyle w:val="Heading2"/>
        <w:numPr>
          <w:ilvl w:val="0"/>
          <w:numId w:val="0"/>
        </w:numPr>
        <w:rPr>
          <w:color w:val="auto"/>
          <w:lang w:val="en-GB"/>
        </w:rPr>
      </w:pPr>
    </w:p>
    <w:p w14:paraId="4443E2CA" w14:textId="06E89E2C" w:rsidR="001125E2" w:rsidRPr="002F0252" w:rsidRDefault="001125E2" w:rsidP="007002AE">
      <w:pPr>
        <w:pStyle w:val="Heading2"/>
        <w:numPr>
          <w:ilvl w:val="0"/>
          <w:numId w:val="0"/>
        </w:numPr>
        <w:rPr>
          <w:color w:val="auto"/>
          <w:lang w:val="en-GB"/>
        </w:rPr>
      </w:pPr>
    </w:p>
    <w:p w14:paraId="2508AF97" w14:textId="1AD3A0FC" w:rsidR="001125E2" w:rsidRPr="002F0252" w:rsidRDefault="0068180C" w:rsidP="007002AE">
      <w:pPr>
        <w:pStyle w:val="Heading2"/>
        <w:numPr>
          <w:ilvl w:val="0"/>
          <w:numId w:val="0"/>
        </w:numPr>
        <w:rPr>
          <w:color w:val="auto"/>
          <w:lang w:val="en-GB"/>
        </w:rPr>
      </w:pPr>
      <w:r>
        <w:rPr>
          <w:noProof/>
          <w:color w:val="auto"/>
          <w:lang w:val="en-GB" w:eastAsia="en-GB"/>
        </w:rPr>
        <mc:AlternateContent>
          <mc:Choice Requires="wps">
            <w:drawing>
              <wp:anchor distT="0" distB="0" distL="114300" distR="114300" simplePos="0" relativeHeight="251676672" behindDoc="0" locked="0" layoutInCell="1" allowOverlap="1" wp14:anchorId="43D3AC74" wp14:editId="4AFD8ECC">
                <wp:simplePos x="0" y="0"/>
                <wp:positionH relativeFrom="column">
                  <wp:posOffset>2638425</wp:posOffset>
                </wp:positionH>
                <wp:positionV relativeFrom="paragraph">
                  <wp:posOffset>237490</wp:posOffset>
                </wp:positionV>
                <wp:extent cx="1485900" cy="2057400"/>
                <wp:effectExtent l="0" t="0" r="38100" b="19050"/>
                <wp:wrapNone/>
                <wp:docPr id="230" name="Right Brace 230"/>
                <wp:cNvGraphicFramePr/>
                <a:graphic xmlns:a="http://schemas.openxmlformats.org/drawingml/2006/main">
                  <a:graphicData uri="http://schemas.microsoft.com/office/word/2010/wordprocessingShape">
                    <wps:wsp>
                      <wps:cNvSpPr/>
                      <wps:spPr>
                        <a:xfrm>
                          <a:off x="0" y="0"/>
                          <a:ext cx="1485900" cy="20574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03037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30" o:spid="_x0000_s1026" type="#_x0000_t88" style="position:absolute;margin-left:207.75pt;margin-top:18.7pt;width:117pt;height:16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" adj="1300" strokecolor="black [3200]" strokeweight=".5pt">
                <v:stroke joinstyle="miter"/>
              </v:shape>
            </w:pict>
          </mc:Fallback>
        </mc:AlternateContent>
      </w:r>
    </w:p>
    <w:p w14:paraId="214DC79D" w14:textId="5E8EF37A" w:rsidR="001125E2" w:rsidRPr="002F0252" w:rsidRDefault="0068180C" w:rsidP="007002AE">
      <w:pPr>
        <w:pStyle w:val="Heading2"/>
        <w:numPr>
          <w:ilvl w:val="0"/>
          <w:numId w:val="0"/>
        </w:numPr>
        <w:rPr>
          <w:color w:val="auto"/>
          <w:lang w:val="en-GB"/>
        </w:rPr>
      </w:pPr>
      <w:r w:rsidRPr="002F0252">
        <w:rPr>
          <w:noProof/>
          <w:color w:val="auto"/>
          <w:lang w:val="en-GB" w:eastAsia="en-GB"/>
        </w:rPr>
        <mc:AlternateContent>
          <mc:Choice Requires="wps">
            <w:drawing>
              <wp:anchor distT="0" distB="0" distL="114300" distR="114300" simplePos="0" relativeHeight="251658239" behindDoc="0" locked="0" layoutInCell="1" allowOverlap="1" wp14:anchorId="14940307" wp14:editId="1FE80CF3">
                <wp:simplePos x="0" y="0"/>
                <wp:positionH relativeFrom="column">
                  <wp:posOffset>1628775</wp:posOffset>
                </wp:positionH>
                <wp:positionV relativeFrom="paragraph">
                  <wp:posOffset>118745</wp:posOffset>
                </wp:positionV>
                <wp:extent cx="45719" cy="1380585"/>
                <wp:effectExtent l="38100" t="0" r="69215" b="48260"/>
                <wp:wrapNone/>
                <wp:docPr id="224" name="Straight Arrow Connector 224"/>
                <wp:cNvGraphicFramePr/>
                <a:graphic xmlns:a="http://schemas.openxmlformats.org/drawingml/2006/main">
                  <a:graphicData uri="http://schemas.microsoft.com/office/word/2010/wordprocessingShape">
                    <wps:wsp>
                      <wps:cNvCnPr/>
                      <wps:spPr>
                        <a:xfrm>
                          <a:off x="0" y="0"/>
                          <a:ext cx="45719" cy="13805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84AEF6" id="Straight Arrow Connector 224" o:spid="_x0000_s1026" type="#_x0000_t32" style="position:absolute;margin-left:128.25pt;margin-top:9.35pt;width:3.6pt;height:108.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" strokecolor="black [3200]" strokeweight=".5pt">
                <v:stroke endarrow="block" joinstyle="miter"/>
              </v:shape>
            </w:pict>
          </mc:Fallback>
        </mc:AlternateContent>
      </w:r>
      <w:r w:rsidR="001125E2" w:rsidRPr="002F0252">
        <w:rPr>
          <w:noProof/>
          <w:color w:val="auto"/>
          <w:lang w:val="en-GB" w:eastAsia="en-GB"/>
        </w:rPr>
        <mc:AlternateContent>
          <mc:Choice Requires="wps">
            <w:drawing>
              <wp:anchor distT="0" distB="0" distL="114300" distR="114300" simplePos="0" relativeHeight="251674624" behindDoc="0" locked="0" layoutInCell="1" allowOverlap="1" wp14:anchorId="741A2F69" wp14:editId="045D77AD">
                <wp:simplePos x="0" y="0"/>
                <wp:positionH relativeFrom="column">
                  <wp:posOffset>1628775</wp:posOffset>
                </wp:positionH>
                <wp:positionV relativeFrom="paragraph">
                  <wp:posOffset>227330</wp:posOffset>
                </wp:positionV>
                <wp:extent cx="9525" cy="314325"/>
                <wp:effectExtent l="38100" t="0" r="66675" b="47625"/>
                <wp:wrapNone/>
                <wp:docPr id="31" name="Straight Arrow Connector 31"/>
                <wp:cNvGraphicFramePr/>
                <a:graphic xmlns:a="http://schemas.openxmlformats.org/drawingml/2006/main">
                  <a:graphicData uri="http://schemas.microsoft.com/office/word/2010/wordprocessingShape">
                    <wps:wsp>
                      <wps:cNvCnPr/>
                      <wps:spPr>
                        <a:xfrm>
                          <a:off x="0" y="0"/>
                          <a:ext cx="9525"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E997BB" id="Straight Arrow Connector 31" o:spid="_x0000_s1026" type="#_x0000_t32" style="position:absolute;margin-left:128.25pt;margin-top:17.9pt;width:.75pt;height:24.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" strokecolor="black [3200]" strokeweight=".5pt">
                <v:stroke endarrow="block" joinstyle="miter"/>
              </v:shape>
            </w:pict>
          </mc:Fallback>
        </mc:AlternateContent>
      </w:r>
    </w:p>
    <w:p w14:paraId="1F88D93D" w14:textId="62114031" w:rsidR="001125E2" w:rsidRPr="002F0252" w:rsidRDefault="0068180C" w:rsidP="007002AE">
      <w:pPr>
        <w:pStyle w:val="Heading2"/>
        <w:numPr>
          <w:ilvl w:val="0"/>
          <w:numId w:val="0"/>
        </w:numPr>
        <w:rPr>
          <w:color w:val="auto"/>
          <w:lang w:val="en-GB"/>
        </w:rPr>
      </w:pPr>
      <w:r w:rsidRPr="002F0252">
        <w:rPr>
          <w:noProof/>
          <w:lang w:val="en-GB" w:eastAsia="en-GB"/>
        </w:rPr>
        <mc:AlternateContent>
          <mc:Choice Requires="wps">
            <w:drawing>
              <wp:anchor distT="0" distB="0" distL="114300" distR="114300" simplePos="0" relativeHeight="251666432" behindDoc="0" locked="0" layoutInCell="1" allowOverlap="1" wp14:anchorId="040FF06D" wp14:editId="12FFFD65">
                <wp:simplePos x="0" y="0"/>
                <wp:positionH relativeFrom="column">
                  <wp:posOffset>4229100</wp:posOffset>
                </wp:positionH>
                <wp:positionV relativeFrom="paragraph">
                  <wp:posOffset>248285</wp:posOffset>
                </wp:positionV>
                <wp:extent cx="1752600" cy="1085850"/>
                <wp:effectExtent l="0" t="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085850"/>
                        </a:xfrm>
                        <a:prstGeom prst="rect">
                          <a:avLst/>
                        </a:prstGeom>
                        <a:solidFill>
                          <a:srgbClr val="FFFFFF"/>
                        </a:solidFill>
                        <a:ln w="9525">
                          <a:solidFill>
                            <a:srgbClr val="000000"/>
                          </a:solidFill>
                          <a:miter lim="800000"/>
                          <a:headEnd/>
                          <a:tailEnd/>
                        </a:ln>
                      </wps:spPr>
                      <wps:txbx>
                        <w:txbxContent>
                          <w:p w14:paraId="70F3BDCF" w14:textId="77777777" w:rsidR="00C2176C" w:rsidRDefault="00C2176C" w:rsidP="001125E2">
                            <w:pPr>
                              <w:jc w:val="center"/>
                              <w:rPr>
                                <w:rFonts w:ascii="Calibri" w:hAnsi="Calibri"/>
                                <w:sz w:val="22"/>
                                <w:szCs w:val="22"/>
                              </w:rPr>
                            </w:pPr>
                            <w:r>
                              <w:rPr>
                                <w:rFonts w:ascii="Calibri" w:hAnsi="Calibri"/>
                                <w:sz w:val="22"/>
                                <w:szCs w:val="22"/>
                              </w:rPr>
                              <w:t xml:space="preserve">Records excluded </w:t>
                            </w:r>
                          </w:p>
                          <w:p w14:paraId="28E0E277" w14:textId="2AA512C7" w:rsidR="00C2176C" w:rsidRDefault="00C2176C" w:rsidP="001125E2">
                            <w:pPr>
                              <w:jc w:val="center"/>
                              <w:rPr>
                                <w:rFonts w:ascii="Calibri" w:hAnsi="Calibri"/>
                                <w:sz w:val="22"/>
                                <w:szCs w:val="22"/>
                              </w:rPr>
                            </w:pPr>
                            <w:r>
                              <w:rPr>
                                <w:rFonts w:ascii="Calibri" w:hAnsi="Calibri"/>
                                <w:sz w:val="22"/>
                                <w:szCs w:val="22"/>
                              </w:rPr>
                              <w:t>(n =1701)</w:t>
                            </w:r>
                          </w:p>
                          <w:p w14:paraId="699DB92D" w14:textId="3ED55468" w:rsidR="00C2176C" w:rsidRDefault="00C2176C" w:rsidP="001125E2">
                            <w:pPr>
                              <w:jc w:val="center"/>
                              <w:rPr>
                                <w:rFonts w:ascii="Calibri" w:hAnsi="Calibri"/>
                                <w:sz w:val="22"/>
                                <w:szCs w:val="22"/>
                                <w:lang w:val="en"/>
                              </w:rPr>
                            </w:pPr>
                            <w:r>
                              <w:rPr>
                                <w:rFonts w:ascii="Calibri" w:hAnsi="Calibri"/>
                                <w:sz w:val="22"/>
                                <w:szCs w:val="22"/>
                              </w:rPr>
                              <w:t>Reasons: not relevant due to no economics or no application to workplace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FF06D" id="Rectangle 20" o:spid="_x0000_s1028" style="position:absolute;margin-left:333pt;margin-top:19.55pt;width:138pt;height: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">
                <v:textbox inset=",7.2pt,,7.2pt">
                  <w:txbxContent>
                    <w:p w14:paraId="70F3BDCF" w14:textId="77777777" w:rsidR="00C2176C" w:rsidRDefault="00C2176C" w:rsidP="001125E2">
                      <w:pPr>
                        <w:jc w:val="center"/>
                        <w:rPr>
                          <w:rFonts w:ascii="Calibri" w:hAnsi="Calibri"/>
                          <w:sz w:val="22"/>
                          <w:szCs w:val="22"/>
                        </w:rPr>
                      </w:pPr>
                      <w:r>
                        <w:rPr>
                          <w:rFonts w:ascii="Calibri" w:hAnsi="Calibri"/>
                          <w:sz w:val="22"/>
                          <w:szCs w:val="22"/>
                        </w:rPr>
                        <w:t xml:space="preserve">Records excluded </w:t>
                      </w:r>
                    </w:p>
                    <w:p w14:paraId="28E0E277" w14:textId="2AA512C7" w:rsidR="00C2176C" w:rsidRDefault="00C2176C" w:rsidP="001125E2">
                      <w:pPr>
                        <w:jc w:val="center"/>
                        <w:rPr>
                          <w:rFonts w:ascii="Calibri" w:hAnsi="Calibri"/>
                          <w:sz w:val="22"/>
                          <w:szCs w:val="22"/>
                        </w:rPr>
                      </w:pPr>
                      <w:r>
                        <w:rPr>
                          <w:rFonts w:ascii="Calibri" w:hAnsi="Calibri"/>
                          <w:sz w:val="22"/>
                          <w:szCs w:val="22"/>
                        </w:rPr>
                        <w:t>(n =1701)</w:t>
                      </w:r>
                    </w:p>
                    <w:p w14:paraId="699DB92D" w14:textId="3ED55468" w:rsidR="00C2176C" w:rsidRDefault="00C2176C" w:rsidP="001125E2">
                      <w:pPr>
                        <w:jc w:val="center"/>
                        <w:rPr>
                          <w:rFonts w:ascii="Calibri" w:hAnsi="Calibri"/>
                          <w:sz w:val="22"/>
                          <w:szCs w:val="22"/>
                          <w:lang w:val="en"/>
                        </w:rPr>
                      </w:pPr>
                      <w:r>
                        <w:rPr>
                          <w:rFonts w:ascii="Calibri" w:hAnsi="Calibri"/>
                          <w:sz w:val="22"/>
                          <w:szCs w:val="22"/>
                        </w:rPr>
                        <w:t>Reasons: not relevant due to no economics or no application to workplace</w:t>
                      </w:r>
                    </w:p>
                  </w:txbxContent>
                </v:textbox>
              </v:rect>
            </w:pict>
          </mc:Fallback>
        </mc:AlternateContent>
      </w:r>
      <w:r w:rsidR="001125E2" w:rsidRPr="002F0252">
        <w:rPr>
          <w:noProof/>
          <w:color w:val="auto"/>
          <w:lang w:val="en-GB" w:eastAsia="en-GB"/>
        </w:rPr>
        <mc:AlternateContent>
          <mc:Choice Requires="wps">
            <w:drawing>
              <wp:anchor distT="0" distB="0" distL="114300" distR="114300" simplePos="0" relativeHeight="251673600" behindDoc="0" locked="0" layoutInCell="1" allowOverlap="1" wp14:anchorId="17B4B3AB" wp14:editId="57115136">
                <wp:simplePos x="0" y="0"/>
                <wp:positionH relativeFrom="column">
                  <wp:posOffset>847725</wp:posOffset>
                </wp:positionH>
                <wp:positionV relativeFrom="paragraph">
                  <wp:posOffset>161290</wp:posOffset>
                </wp:positionV>
                <wp:extent cx="1714500" cy="685800"/>
                <wp:effectExtent l="9525" t="9525" r="9525" b="952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2654704F" w14:textId="40D4A15E" w:rsidR="00C2176C" w:rsidRDefault="00C2176C" w:rsidP="001125E2">
                            <w:pPr>
                              <w:jc w:val="center"/>
                              <w:rPr>
                                <w:rFonts w:ascii="Calibri" w:hAnsi="Calibri"/>
                                <w:sz w:val="22"/>
                                <w:szCs w:val="22"/>
                                <w:lang w:val="en"/>
                              </w:rPr>
                            </w:pPr>
                            <w:r>
                              <w:rPr>
                                <w:rFonts w:ascii="Calibri" w:hAnsi="Calibri"/>
                                <w:sz w:val="22"/>
                                <w:szCs w:val="22"/>
                              </w:rPr>
                              <w:t>Records screened (abstracts)</w:t>
                            </w:r>
                            <w:r>
                              <w:rPr>
                                <w:rFonts w:ascii="Calibri" w:hAnsi="Calibri"/>
                                <w:sz w:val="22"/>
                                <w:szCs w:val="22"/>
                              </w:rPr>
                              <w:br/>
                              <w:t>(n = 339)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4B3AB" id="Rectangle 29" o:spid="_x0000_s1029" style="position:absolute;margin-left:66.75pt;margin-top:12.7pt;width:135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">
                <v:textbox inset=",7.2pt,,7.2pt">
                  <w:txbxContent>
                    <w:p w14:paraId="2654704F" w14:textId="40D4A15E" w:rsidR="00C2176C" w:rsidRDefault="00C2176C" w:rsidP="001125E2">
                      <w:pPr>
                        <w:jc w:val="center"/>
                        <w:rPr>
                          <w:rFonts w:ascii="Calibri" w:hAnsi="Calibri"/>
                          <w:sz w:val="22"/>
                          <w:szCs w:val="22"/>
                          <w:lang w:val="en"/>
                        </w:rPr>
                      </w:pPr>
                      <w:r>
                        <w:rPr>
                          <w:rFonts w:ascii="Calibri" w:hAnsi="Calibri"/>
                          <w:sz w:val="22"/>
                          <w:szCs w:val="22"/>
                        </w:rPr>
                        <w:t>Records screened (abstracts</w:t>
                      </w:r>
                      <w:proofErr w:type="gramStart"/>
                      <w:r>
                        <w:rPr>
                          <w:rFonts w:ascii="Calibri" w:hAnsi="Calibri"/>
                          <w:sz w:val="22"/>
                          <w:szCs w:val="22"/>
                        </w:rPr>
                        <w:t>)</w:t>
                      </w:r>
                      <w:proofErr w:type="gramEnd"/>
                      <w:r>
                        <w:rPr>
                          <w:rFonts w:ascii="Calibri" w:hAnsi="Calibri"/>
                          <w:sz w:val="22"/>
                          <w:szCs w:val="22"/>
                        </w:rPr>
                        <w:br/>
                        <w:t>(n = 339)</w:t>
                      </w:r>
                    </w:p>
                  </w:txbxContent>
                </v:textbox>
              </v:rect>
            </w:pict>
          </mc:Fallback>
        </mc:AlternateContent>
      </w:r>
    </w:p>
    <w:p w14:paraId="3943F6BA" w14:textId="5BCD160D" w:rsidR="001125E2" w:rsidRPr="002F0252" w:rsidRDefault="001125E2" w:rsidP="007002AE">
      <w:pPr>
        <w:pStyle w:val="Heading2"/>
        <w:numPr>
          <w:ilvl w:val="0"/>
          <w:numId w:val="0"/>
        </w:numPr>
        <w:rPr>
          <w:color w:val="auto"/>
          <w:lang w:val="en-GB"/>
        </w:rPr>
      </w:pPr>
    </w:p>
    <w:p w14:paraId="0CEAEFA1" w14:textId="149B7DA8" w:rsidR="001125E2" w:rsidRPr="002F0252" w:rsidRDefault="0068180C" w:rsidP="007002AE">
      <w:pPr>
        <w:pStyle w:val="Heading2"/>
        <w:numPr>
          <w:ilvl w:val="0"/>
          <w:numId w:val="0"/>
        </w:numPr>
        <w:rPr>
          <w:color w:val="auto"/>
          <w:lang w:val="en-GB"/>
        </w:rPr>
      </w:pPr>
      <w:r w:rsidRPr="002F0252">
        <w:rPr>
          <w:noProof/>
          <w:color w:val="auto"/>
          <w:lang w:val="en-GB" w:eastAsia="en-GB"/>
        </w:rPr>
        <mc:AlternateContent>
          <mc:Choice Requires="wps">
            <w:drawing>
              <wp:anchor distT="0" distB="0" distL="114300" distR="114300" simplePos="0" relativeHeight="251657214" behindDoc="0" locked="0" layoutInCell="1" allowOverlap="1" wp14:anchorId="056599A1" wp14:editId="3B9E63DA">
                <wp:simplePos x="0" y="0"/>
                <wp:positionH relativeFrom="column">
                  <wp:posOffset>1637666</wp:posOffset>
                </wp:positionH>
                <wp:positionV relativeFrom="paragraph">
                  <wp:posOffset>363220</wp:posOffset>
                </wp:positionV>
                <wp:extent cx="45719" cy="1123315"/>
                <wp:effectExtent l="38100" t="0" r="69215" b="57785"/>
                <wp:wrapNone/>
                <wp:docPr id="231" name="Straight Arrow Connector 231"/>
                <wp:cNvGraphicFramePr/>
                <a:graphic xmlns:a="http://schemas.openxmlformats.org/drawingml/2006/main">
                  <a:graphicData uri="http://schemas.microsoft.com/office/word/2010/wordprocessingShape">
                    <wps:wsp>
                      <wps:cNvCnPr/>
                      <wps:spPr>
                        <a:xfrm>
                          <a:off x="0" y="0"/>
                          <a:ext cx="45719" cy="11233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514EB7D" id="Straight Arrow Connector 231" o:spid="_x0000_s1026" type="#_x0000_t32" style="position:absolute;margin-left:128.95pt;margin-top:28.6pt;width:3.6pt;height:88.4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" strokecolor="windowText" strokeweight=".5pt">
                <v:stroke endarrow="block" joinstyle="miter"/>
              </v:shape>
            </w:pict>
          </mc:Fallback>
        </mc:AlternateContent>
      </w:r>
      <w:r w:rsidRPr="002F0252">
        <w:rPr>
          <w:noProof/>
          <w:color w:val="auto"/>
          <w:lang w:val="en-GB" w:eastAsia="en-GB"/>
        </w:rPr>
        <mc:AlternateContent>
          <mc:Choice Requires="wps">
            <w:drawing>
              <wp:anchor distT="0" distB="0" distL="114300" distR="114300" simplePos="0" relativeHeight="251667456" behindDoc="0" locked="0" layoutInCell="1" allowOverlap="1" wp14:anchorId="7891B83C" wp14:editId="6A631EEF">
                <wp:simplePos x="0" y="0"/>
                <wp:positionH relativeFrom="column">
                  <wp:posOffset>828675</wp:posOffset>
                </wp:positionH>
                <wp:positionV relativeFrom="paragraph">
                  <wp:posOffset>318135</wp:posOffset>
                </wp:positionV>
                <wp:extent cx="1714500" cy="685800"/>
                <wp:effectExtent l="9525" t="9525" r="9525" b="952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1C73A3EC" w14:textId="35D371CD" w:rsidR="00C2176C" w:rsidRDefault="00C2176C" w:rsidP="001125E2">
                            <w:pPr>
                              <w:jc w:val="center"/>
                              <w:rPr>
                                <w:rFonts w:ascii="Calibri" w:hAnsi="Calibri"/>
                                <w:sz w:val="22"/>
                                <w:szCs w:val="22"/>
                                <w:lang w:val="en"/>
                              </w:rPr>
                            </w:pPr>
                            <w:r>
                              <w:rPr>
                                <w:rFonts w:ascii="Calibri" w:hAnsi="Calibri"/>
                                <w:sz w:val="22"/>
                                <w:szCs w:val="22"/>
                              </w:rPr>
                              <w:t>Full-text articles assessed for eligibility (n = 199)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1B83C" id="Rectangle 24" o:spid="_x0000_s1030" style="position:absolute;margin-left:65.25pt;margin-top:25.05pt;width:135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">
                <v:textbox inset=",7.2pt,,7.2pt">
                  <w:txbxContent>
                    <w:p w14:paraId="1C73A3EC" w14:textId="35D371CD" w:rsidR="00C2176C" w:rsidRDefault="00C2176C" w:rsidP="001125E2">
                      <w:pPr>
                        <w:jc w:val="center"/>
                        <w:rPr>
                          <w:rFonts w:ascii="Calibri" w:hAnsi="Calibri"/>
                          <w:sz w:val="22"/>
                          <w:szCs w:val="22"/>
                          <w:lang w:val="en"/>
                        </w:rPr>
                      </w:pPr>
                      <w:r>
                        <w:rPr>
                          <w:rFonts w:ascii="Calibri" w:hAnsi="Calibri"/>
                          <w:sz w:val="22"/>
                          <w:szCs w:val="22"/>
                        </w:rPr>
                        <w:t>Full-text articles assessed for eligibility (n = 199)</w:t>
                      </w:r>
                    </w:p>
                  </w:txbxContent>
                </v:textbox>
              </v:rect>
            </w:pict>
          </mc:Fallback>
        </mc:AlternateContent>
      </w:r>
    </w:p>
    <w:p w14:paraId="0D879A32" w14:textId="38B29722" w:rsidR="001125E2" w:rsidRPr="002F0252" w:rsidRDefault="001125E2" w:rsidP="007002AE">
      <w:pPr>
        <w:pStyle w:val="Heading2"/>
        <w:numPr>
          <w:ilvl w:val="0"/>
          <w:numId w:val="0"/>
        </w:numPr>
        <w:rPr>
          <w:color w:val="auto"/>
          <w:lang w:val="en-GB"/>
        </w:rPr>
      </w:pPr>
    </w:p>
    <w:p w14:paraId="12B5130D" w14:textId="388655EF" w:rsidR="001125E2" w:rsidRPr="002F0252" w:rsidRDefault="001125E2" w:rsidP="007002AE">
      <w:pPr>
        <w:pStyle w:val="Heading2"/>
        <w:numPr>
          <w:ilvl w:val="0"/>
          <w:numId w:val="0"/>
        </w:numPr>
        <w:rPr>
          <w:color w:val="auto"/>
          <w:lang w:val="en-GB"/>
        </w:rPr>
      </w:pPr>
    </w:p>
    <w:p w14:paraId="0D4B5BDC" w14:textId="1F47AF6E" w:rsidR="001125E2" w:rsidRPr="002F0252" w:rsidRDefault="001D37AE" w:rsidP="007002AE">
      <w:pPr>
        <w:pStyle w:val="Heading2"/>
        <w:numPr>
          <w:ilvl w:val="0"/>
          <w:numId w:val="0"/>
        </w:numPr>
        <w:rPr>
          <w:color w:val="auto"/>
          <w:lang w:val="en-GB"/>
        </w:rPr>
      </w:pPr>
      <w:r w:rsidRPr="002F0252">
        <w:rPr>
          <w:noProof/>
          <w:lang w:val="en-GB" w:eastAsia="en-GB"/>
        </w:rPr>
        <mc:AlternateContent>
          <mc:Choice Requires="wps">
            <w:drawing>
              <wp:anchor distT="0" distB="0" distL="114300" distR="114300" simplePos="0" relativeHeight="251668480" behindDoc="0" locked="0" layoutInCell="1" allowOverlap="1" wp14:anchorId="461D995F" wp14:editId="08075BC1">
                <wp:simplePos x="0" y="0"/>
                <wp:positionH relativeFrom="column">
                  <wp:posOffset>838200</wp:posOffset>
                </wp:positionH>
                <wp:positionV relativeFrom="paragraph">
                  <wp:posOffset>314960</wp:posOffset>
                </wp:positionV>
                <wp:extent cx="1714500" cy="914400"/>
                <wp:effectExtent l="9525" t="9525" r="9525" b="952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14400"/>
                        </a:xfrm>
                        <a:prstGeom prst="rect">
                          <a:avLst/>
                        </a:prstGeom>
                        <a:solidFill>
                          <a:srgbClr val="FFFFFF"/>
                        </a:solidFill>
                        <a:ln w="9525">
                          <a:solidFill>
                            <a:srgbClr val="000000"/>
                          </a:solidFill>
                          <a:miter lim="800000"/>
                          <a:headEnd/>
                          <a:tailEnd/>
                        </a:ln>
                      </wps:spPr>
                      <wps:txbx>
                        <w:txbxContent>
                          <w:p w14:paraId="33FEE9AE" w14:textId="5EC1BC57" w:rsidR="00C2176C" w:rsidRDefault="00C2176C" w:rsidP="001125E2">
                            <w:pPr>
                              <w:jc w:val="center"/>
                              <w:rPr>
                                <w:rFonts w:ascii="Calibri" w:hAnsi="Calibri"/>
                                <w:sz w:val="22"/>
                                <w:szCs w:val="22"/>
                              </w:rPr>
                            </w:pPr>
                            <w:r>
                              <w:rPr>
                                <w:rFonts w:ascii="Calibri" w:hAnsi="Calibri"/>
                                <w:sz w:val="22"/>
                                <w:szCs w:val="22"/>
                              </w:rPr>
                              <w:t>Studies included in the rapid review synthesis</w:t>
                            </w:r>
                          </w:p>
                          <w:p w14:paraId="5557981E" w14:textId="702E6CEF" w:rsidR="00C2176C" w:rsidRDefault="00C2176C" w:rsidP="001125E2">
                            <w:pPr>
                              <w:jc w:val="center"/>
                              <w:rPr>
                                <w:rFonts w:ascii="Calibri" w:hAnsi="Calibri"/>
                                <w:sz w:val="22"/>
                                <w:szCs w:val="22"/>
                                <w:lang w:val="en"/>
                              </w:rPr>
                            </w:pPr>
                            <w:r>
                              <w:rPr>
                                <w:rFonts w:ascii="Calibri" w:hAnsi="Calibri"/>
                                <w:sz w:val="22"/>
                                <w:szCs w:val="22"/>
                              </w:rPr>
                              <w:t>(n = 50)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D995F" id="Rectangle 25" o:spid="_x0000_s1031" style="position:absolute;margin-left:66pt;margin-top:24.8pt;width:135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">
                <v:textbox inset=",7.2pt,,7.2pt">
                  <w:txbxContent>
                    <w:p w14:paraId="33FEE9AE" w14:textId="5EC1BC57" w:rsidR="00C2176C" w:rsidRDefault="00C2176C" w:rsidP="001125E2">
                      <w:pPr>
                        <w:jc w:val="center"/>
                        <w:rPr>
                          <w:rFonts w:ascii="Calibri" w:hAnsi="Calibri"/>
                          <w:sz w:val="22"/>
                          <w:szCs w:val="22"/>
                        </w:rPr>
                      </w:pPr>
                      <w:r>
                        <w:rPr>
                          <w:rFonts w:ascii="Calibri" w:hAnsi="Calibri"/>
                          <w:sz w:val="22"/>
                          <w:szCs w:val="22"/>
                        </w:rPr>
                        <w:t>Studies included in the rapid review synthesis</w:t>
                      </w:r>
                    </w:p>
                    <w:p w14:paraId="5557981E" w14:textId="702E6CEF" w:rsidR="00C2176C" w:rsidRDefault="00C2176C" w:rsidP="001125E2">
                      <w:pPr>
                        <w:jc w:val="center"/>
                        <w:rPr>
                          <w:rFonts w:ascii="Calibri" w:hAnsi="Calibri"/>
                          <w:sz w:val="22"/>
                          <w:szCs w:val="22"/>
                          <w:lang w:val="en"/>
                        </w:rPr>
                      </w:pPr>
                      <w:r>
                        <w:rPr>
                          <w:rFonts w:ascii="Calibri" w:hAnsi="Calibri"/>
                          <w:sz w:val="22"/>
                          <w:szCs w:val="22"/>
                        </w:rPr>
                        <w:t>(n = 50)</w:t>
                      </w:r>
                    </w:p>
                  </w:txbxContent>
                </v:textbox>
              </v:rect>
            </w:pict>
          </mc:Fallback>
        </mc:AlternateContent>
      </w:r>
    </w:p>
    <w:p w14:paraId="35C8435B" w14:textId="6CE4EAE9" w:rsidR="001125E2" w:rsidRPr="002F0252" w:rsidRDefault="001125E2" w:rsidP="007002AE">
      <w:pPr>
        <w:pStyle w:val="Heading2"/>
        <w:numPr>
          <w:ilvl w:val="0"/>
          <w:numId w:val="0"/>
        </w:numPr>
        <w:rPr>
          <w:color w:val="auto"/>
          <w:lang w:val="en-GB"/>
        </w:rPr>
      </w:pPr>
    </w:p>
    <w:p w14:paraId="0D842B94" w14:textId="285D0FE4" w:rsidR="001125E2" w:rsidRPr="002F0252" w:rsidRDefault="001125E2" w:rsidP="007002AE">
      <w:pPr>
        <w:pStyle w:val="Heading2"/>
        <w:numPr>
          <w:ilvl w:val="0"/>
          <w:numId w:val="0"/>
        </w:numPr>
        <w:rPr>
          <w:color w:val="auto"/>
          <w:lang w:val="en-GB"/>
        </w:rPr>
      </w:pPr>
    </w:p>
    <w:p w14:paraId="0914DABB" w14:textId="77777777" w:rsidR="007002AE" w:rsidRPr="002F0252" w:rsidRDefault="007002AE" w:rsidP="007002AE">
      <w:pPr>
        <w:pStyle w:val="Heading2"/>
        <w:numPr>
          <w:ilvl w:val="0"/>
          <w:numId w:val="0"/>
        </w:numPr>
        <w:rPr>
          <w:color w:val="auto"/>
          <w:lang w:val="en-GB"/>
        </w:rPr>
      </w:pPr>
    </w:p>
    <w:p w14:paraId="3FDDC20F" w14:textId="77777777" w:rsidR="007002AE" w:rsidRPr="002F0252" w:rsidRDefault="007002AE" w:rsidP="00B864A1">
      <w:pPr>
        <w:sectPr w:rsidR="007002AE" w:rsidRPr="002F0252" w:rsidSect="00A418C4">
          <w:headerReference w:type="default" r:id="rId9"/>
          <w:footerReference w:type="default" r:id="rId10"/>
          <w:headerReference w:type="first" r:id="rId11"/>
          <w:footerReference w:type="first" r:id="rId12"/>
          <w:pgSz w:w="11906" w:h="16838"/>
          <w:pgMar w:top="1440" w:right="1800" w:bottom="1440" w:left="1800" w:header="708" w:footer="708" w:gutter="0"/>
          <w:cols w:space="708"/>
          <w:docGrid w:linePitch="360"/>
        </w:sectPr>
      </w:pPr>
    </w:p>
    <w:p w14:paraId="734945F4" w14:textId="413AB959" w:rsidR="007002AE" w:rsidRPr="002F0252" w:rsidRDefault="00CB756A" w:rsidP="00CB756A">
      <w:pPr>
        <w:pStyle w:val="Heading1"/>
        <w:numPr>
          <w:ilvl w:val="0"/>
          <w:numId w:val="0"/>
        </w:numPr>
        <w:ind w:left="432" w:hanging="432"/>
      </w:pPr>
      <w:r>
        <w:lastRenderedPageBreak/>
        <w:t>4</w:t>
      </w:r>
      <w:r w:rsidR="007002AE" w:rsidRPr="002F0252">
        <w:tab/>
        <w:t>Rapid review tables according to type of intervention</w:t>
      </w:r>
    </w:p>
    <w:p w14:paraId="11C52963" w14:textId="77777777" w:rsidR="007002AE" w:rsidRPr="002F0252" w:rsidRDefault="007002AE" w:rsidP="00F32811">
      <w:pPr>
        <w:pStyle w:val="Heading2"/>
        <w:numPr>
          <w:ilvl w:val="0"/>
          <w:numId w:val="0"/>
        </w:numPr>
        <w:rPr>
          <w:color w:val="auto"/>
          <w:lang w:val="en-GB"/>
        </w:rPr>
      </w:pPr>
    </w:p>
    <w:p w14:paraId="78A7C6F4" w14:textId="77777777" w:rsidR="00556C47" w:rsidRPr="002F0252" w:rsidRDefault="00556C47" w:rsidP="00556C47">
      <w:pPr>
        <w:rPr>
          <w:b/>
        </w:rPr>
      </w:pPr>
      <w:r w:rsidRPr="002F0252">
        <w:rPr>
          <w:b/>
        </w:rPr>
        <w:t>List of tables:</w:t>
      </w:r>
    </w:p>
    <w:p w14:paraId="5788745A" w14:textId="2681BC4D" w:rsidR="00556C47" w:rsidRPr="002F0252" w:rsidRDefault="00556C47" w:rsidP="00556C47">
      <w:r w:rsidRPr="002F0252">
        <w:t xml:space="preserve">Table </w:t>
      </w:r>
      <w:r w:rsidR="00FF0369">
        <w:t>4.</w:t>
      </w:r>
      <w:r w:rsidR="00630156">
        <w:t>1</w:t>
      </w:r>
      <w:r w:rsidR="00630156">
        <w:tab/>
      </w:r>
      <w:r w:rsidR="00810B29" w:rsidRPr="002F0252">
        <w:t>Discouraged workers</w:t>
      </w:r>
    </w:p>
    <w:p w14:paraId="28E48853" w14:textId="45C9849C" w:rsidR="00556C47" w:rsidRPr="002F0252" w:rsidRDefault="00556C47" w:rsidP="00556C47">
      <w:r w:rsidRPr="002F0252">
        <w:t xml:space="preserve">Table </w:t>
      </w:r>
      <w:r w:rsidR="00FF0369">
        <w:t>4.</w:t>
      </w:r>
      <w:r w:rsidR="00630156">
        <w:t>2</w:t>
      </w:r>
      <w:r w:rsidR="00630156">
        <w:tab/>
      </w:r>
      <w:r w:rsidR="00C80768" w:rsidRPr="002F0252">
        <w:t>Barriers to employment</w:t>
      </w:r>
    </w:p>
    <w:p w14:paraId="624E93A5" w14:textId="689FC64C" w:rsidR="00556C47" w:rsidRPr="002F0252" w:rsidRDefault="00BB71D5" w:rsidP="00556C47">
      <w:r w:rsidRPr="002F0252">
        <w:t>Table</w:t>
      </w:r>
      <w:r w:rsidR="00FF0369">
        <w:t xml:space="preserve"> 4.</w:t>
      </w:r>
      <w:r w:rsidR="00630156">
        <w:t xml:space="preserve"> 3</w:t>
      </w:r>
      <w:r w:rsidR="00630156">
        <w:tab/>
      </w:r>
      <w:r w:rsidRPr="002F0252">
        <w:t>Employer initiatives to reduce staff burn-out and staff turnover including healthy eating and weight loss initiatives</w:t>
      </w:r>
    </w:p>
    <w:p w14:paraId="7B830352" w14:textId="0037466B" w:rsidR="00556C47" w:rsidRPr="002F0252" w:rsidRDefault="00556C47" w:rsidP="00556C47">
      <w:r w:rsidRPr="002F0252">
        <w:t xml:space="preserve">Table </w:t>
      </w:r>
      <w:r w:rsidR="00FF0369">
        <w:t>4.</w:t>
      </w:r>
      <w:r w:rsidR="00630156">
        <w:t>4</w:t>
      </w:r>
      <w:r w:rsidR="00630156">
        <w:tab/>
      </w:r>
      <w:r w:rsidR="00911699" w:rsidRPr="002F0252">
        <w:t>Sickness absence interventions</w:t>
      </w:r>
    </w:p>
    <w:p w14:paraId="6C234D95" w14:textId="3B48E4A2" w:rsidR="00556C47" w:rsidRPr="002F0252" w:rsidRDefault="00556C47" w:rsidP="00556C47">
      <w:r w:rsidRPr="002F0252">
        <w:t xml:space="preserve">Table </w:t>
      </w:r>
      <w:r w:rsidR="00FF0369">
        <w:t>4.</w:t>
      </w:r>
      <w:r w:rsidR="00630156">
        <w:t>5</w:t>
      </w:r>
      <w:r w:rsidR="00630156">
        <w:tab/>
      </w:r>
      <w:r w:rsidR="007B2E79" w:rsidRPr="002F0252">
        <w:t>Interventions to reduce burn-out and keep people working for longer</w:t>
      </w:r>
    </w:p>
    <w:p w14:paraId="21644371" w14:textId="7D896333" w:rsidR="00556C47" w:rsidRPr="002F0252" w:rsidRDefault="00556C47" w:rsidP="00556C47">
      <w:r w:rsidRPr="002F0252">
        <w:t xml:space="preserve">Table </w:t>
      </w:r>
      <w:r w:rsidR="00FF0369">
        <w:t>4.</w:t>
      </w:r>
      <w:r w:rsidR="00630156">
        <w:t>6</w:t>
      </w:r>
      <w:r w:rsidR="00630156">
        <w:tab/>
      </w:r>
      <w:r w:rsidR="00112156" w:rsidRPr="002F0252">
        <w:t>Interventions to support workers who abuse substances (cigarettes, alcohol and drugs misuse)</w:t>
      </w:r>
    </w:p>
    <w:p w14:paraId="1E7C18B3" w14:textId="1168F996" w:rsidR="001F230B" w:rsidRPr="002F0252" w:rsidRDefault="001F230B" w:rsidP="00556C47">
      <w:r w:rsidRPr="002F0252">
        <w:t xml:space="preserve">Table </w:t>
      </w:r>
      <w:r w:rsidR="00FF0369">
        <w:t>4.</w:t>
      </w:r>
      <w:r w:rsidRPr="002F0252">
        <w:t>7</w:t>
      </w:r>
      <w:r w:rsidR="00630156">
        <w:tab/>
      </w:r>
      <w:r w:rsidR="00F73F92" w:rsidRPr="002F0252">
        <w:t>Interventions regarding common and severe mental illness and employment</w:t>
      </w:r>
    </w:p>
    <w:p w14:paraId="19CC4BEB" w14:textId="0DF86874" w:rsidR="00556C47" w:rsidRPr="002F0252" w:rsidRDefault="00556C47" w:rsidP="00556C47">
      <w:r w:rsidRPr="002F0252">
        <w:t xml:space="preserve">Table </w:t>
      </w:r>
      <w:r w:rsidR="00FF0369">
        <w:t>4.</w:t>
      </w:r>
      <w:r w:rsidR="00630156">
        <w:t>8</w:t>
      </w:r>
      <w:r w:rsidR="00630156">
        <w:tab/>
      </w:r>
      <w:r w:rsidR="001F21FD" w:rsidRPr="002F0252">
        <w:t>Interventions to reduce work disability related to musculoskeletal disorders</w:t>
      </w:r>
    </w:p>
    <w:p w14:paraId="4D893563" w14:textId="329BDECB" w:rsidR="00556C47" w:rsidRPr="002F0252" w:rsidRDefault="00556C47" w:rsidP="00556C47">
      <w:r w:rsidRPr="002F0252">
        <w:t xml:space="preserve">Table </w:t>
      </w:r>
      <w:r w:rsidR="00FF0369">
        <w:t>4.</w:t>
      </w:r>
      <w:r w:rsidR="00630156">
        <w:t>9</w:t>
      </w:r>
      <w:r w:rsidR="00630156">
        <w:tab/>
      </w:r>
      <w:r w:rsidR="00883042" w:rsidRPr="002F0252">
        <w:t xml:space="preserve">Interventions to reduce work disability related to </w:t>
      </w:r>
      <w:r w:rsidR="003428F5" w:rsidRPr="002F0252">
        <w:t>rheumatoid arthritis</w:t>
      </w:r>
    </w:p>
    <w:p w14:paraId="23D1E797" w14:textId="1CA766FF" w:rsidR="00556C47" w:rsidRPr="002F0252" w:rsidRDefault="00556C47" w:rsidP="00556C47">
      <w:r w:rsidRPr="002F0252">
        <w:t xml:space="preserve">Table </w:t>
      </w:r>
      <w:r w:rsidR="00FF0369">
        <w:t>4.</w:t>
      </w:r>
      <w:r w:rsidRPr="002F0252">
        <w:t>10</w:t>
      </w:r>
      <w:r w:rsidRPr="002F0252">
        <w:tab/>
      </w:r>
      <w:r w:rsidR="003428F5" w:rsidRPr="002F0252">
        <w:t>Interventions to reduce work disability related to migraine</w:t>
      </w:r>
    </w:p>
    <w:p w14:paraId="46AE506A" w14:textId="039616F4" w:rsidR="003428F5" w:rsidRPr="002F0252" w:rsidRDefault="00556C47" w:rsidP="003428F5">
      <w:r w:rsidRPr="002F0252">
        <w:t xml:space="preserve">Table </w:t>
      </w:r>
      <w:r w:rsidR="00FF0369">
        <w:t>4.</w:t>
      </w:r>
      <w:r w:rsidRPr="002F0252">
        <w:t>11</w:t>
      </w:r>
      <w:r w:rsidRPr="002F0252">
        <w:tab/>
      </w:r>
      <w:r w:rsidR="003428F5" w:rsidRPr="002F0252">
        <w:t>Interventions to improve work participation of young adults with physical disabilities</w:t>
      </w:r>
    </w:p>
    <w:p w14:paraId="284FD411" w14:textId="2AEB4DDE" w:rsidR="00616EA6" w:rsidRPr="002F0252" w:rsidRDefault="00616EA6" w:rsidP="003428F5">
      <w:r w:rsidRPr="002F0252">
        <w:t xml:space="preserve">Table </w:t>
      </w:r>
      <w:r w:rsidR="00FF0369">
        <w:t>4.</w:t>
      </w:r>
      <w:r w:rsidRPr="002F0252">
        <w:t>12</w:t>
      </w:r>
      <w:r w:rsidRPr="002F0252">
        <w:tab/>
        <w:t>Interventions to improve work participation through disability case management</w:t>
      </w:r>
    </w:p>
    <w:p w14:paraId="198756B0" w14:textId="22F1EC15" w:rsidR="002D412F" w:rsidRPr="002F0252" w:rsidRDefault="002D412F" w:rsidP="002D412F">
      <w:r w:rsidRPr="002F0252">
        <w:t xml:space="preserve">Table </w:t>
      </w:r>
      <w:r w:rsidR="00FF0369">
        <w:t>4.</w:t>
      </w:r>
      <w:r w:rsidRPr="002F0252">
        <w:t>13</w:t>
      </w:r>
      <w:r w:rsidRPr="002F0252">
        <w:tab/>
        <w:t>Interventions to improve work participation through vaccination programmes</w:t>
      </w:r>
    </w:p>
    <w:p w14:paraId="78154E7D" w14:textId="77777777" w:rsidR="002D412F" w:rsidRPr="002F0252" w:rsidRDefault="002D412F" w:rsidP="003428F5"/>
    <w:p w14:paraId="64710639" w14:textId="77777777" w:rsidR="00556C47" w:rsidRPr="002F0252" w:rsidRDefault="00556C47" w:rsidP="00556C47">
      <w:pPr>
        <w:rPr>
          <w:highlight w:val="yellow"/>
        </w:rPr>
      </w:pPr>
    </w:p>
    <w:p w14:paraId="5F089970" w14:textId="77777777" w:rsidR="00DC588D" w:rsidRPr="002F0252" w:rsidRDefault="00DC588D">
      <w:pPr>
        <w:rPr>
          <w:highlight w:val="yellow"/>
        </w:rPr>
      </w:pPr>
      <w:r w:rsidRPr="002F0252">
        <w:rPr>
          <w:highlight w:val="yellow"/>
        </w:rPr>
        <w:br w:type="page"/>
      </w:r>
    </w:p>
    <w:p w14:paraId="67F34AA2" w14:textId="77777777" w:rsidR="00556C47" w:rsidRPr="002F0252" w:rsidRDefault="00556C47" w:rsidP="00556C47">
      <w:pPr>
        <w:rPr>
          <w:highlight w:val="yellow"/>
        </w:rPr>
      </w:pPr>
    </w:p>
    <w:p w14:paraId="7B8306BC" w14:textId="5DFD29ED" w:rsidR="00556C47" w:rsidRPr="002F0252" w:rsidRDefault="00556C47" w:rsidP="00556C47">
      <w:pPr>
        <w:rPr>
          <w:b/>
        </w:rPr>
      </w:pPr>
      <w:r w:rsidRPr="002F0252">
        <w:rPr>
          <w:b/>
        </w:rPr>
        <w:t xml:space="preserve">Table </w:t>
      </w:r>
      <w:r w:rsidR="00880431">
        <w:rPr>
          <w:b/>
        </w:rPr>
        <w:t>4.</w:t>
      </w:r>
      <w:r w:rsidRPr="002F0252">
        <w:rPr>
          <w:b/>
        </w:rPr>
        <w:t>1</w:t>
      </w:r>
      <w:r w:rsidRPr="002F0252">
        <w:rPr>
          <w:b/>
        </w:rPr>
        <w:tab/>
      </w:r>
      <w:r w:rsidR="00231B57" w:rsidRPr="002F0252">
        <w:rPr>
          <w:b/>
        </w:rPr>
        <w:t>Discouraged workers</w:t>
      </w:r>
      <w:r w:rsidR="00D7729D" w:rsidRPr="002F0252">
        <w:rPr>
          <w:b/>
        </w:rPr>
        <w:t xml:space="preserve"> </w:t>
      </w:r>
    </w:p>
    <w:p w14:paraId="6CA64AFD" w14:textId="77777777" w:rsidR="00556C47" w:rsidRPr="002F0252" w:rsidRDefault="00556C47" w:rsidP="00556C47"/>
    <w:tbl>
      <w:tblPr>
        <w:tblStyle w:val="TableGrid"/>
        <w:tblW w:w="5000" w:type="pct"/>
        <w:tblLook w:val="04A0" w:firstRow="1" w:lastRow="0" w:firstColumn="1" w:lastColumn="0" w:noHBand="0" w:noVBand="1"/>
      </w:tblPr>
      <w:tblGrid>
        <w:gridCol w:w="1481"/>
        <w:gridCol w:w="1166"/>
        <w:gridCol w:w="845"/>
        <w:gridCol w:w="2107"/>
        <w:gridCol w:w="1967"/>
        <w:gridCol w:w="1166"/>
        <w:gridCol w:w="2608"/>
        <w:gridCol w:w="2608"/>
      </w:tblGrid>
      <w:tr w:rsidR="00231B57" w:rsidRPr="002F0252" w14:paraId="1527BDF3" w14:textId="77777777" w:rsidTr="002F3ADC">
        <w:tc>
          <w:tcPr>
            <w:tcW w:w="531" w:type="pct"/>
          </w:tcPr>
          <w:p w14:paraId="4297ACF1" w14:textId="77777777" w:rsidR="00556C47" w:rsidRPr="002F0252" w:rsidRDefault="00556C47" w:rsidP="0007691D">
            <w:pPr>
              <w:rPr>
                <w:b/>
              </w:rPr>
            </w:pPr>
            <w:r w:rsidRPr="002F0252">
              <w:rPr>
                <w:b/>
              </w:rPr>
              <w:t>Category of Initiative</w:t>
            </w:r>
          </w:p>
        </w:tc>
        <w:tc>
          <w:tcPr>
            <w:tcW w:w="418" w:type="pct"/>
          </w:tcPr>
          <w:p w14:paraId="4FD27C15" w14:textId="77777777" w:rsidR="00556C47" w:rsidRPr="002F0252" w:rsidRDefault="00556C47" w:rsidP="0007691D">
            <w:pPr>
              <w:rPr>
                <w:b/>
              </w:rPr>
            </w:pPr>
            <w:r w:rsidRPr="002F0252">
              <w:rPr>
                <w:b/>
              </w:rPr>
              <w:t>Author</w:t>
            </w:r>
          </w:p>
        </w:tc>
        <w:tc>
          <w:tcPr>
            <w:tcW w:w="303" w:type="pct"/>
          </w:tcPr>
          <w:p w14:paraId="58EF05FF" w14:textId="77777777" w:rsidR="00556C47" w:rsidRPr="002F0252" w:rsidRDefault="00556C47" w:rsidP="0007691D">
            <w:pPr>
              <w:rPr>
                <w:b/>
              </w:rPr>
            </w:pPr>
            <w:r w:rsidRPr="002F0252">
              <w:rPr>
                <w:b/>
              </w:rPr>
              <w:t xml:space="preserve">Date </w:t>
            </w:r>
          </w:p>
        </w:tc>
        <w:tc>
          <w:tcPr>
            <w:tcW w:w="755" w:type="pct"/>
          </w:tcPr>
          <w:p w14:paraId="64C5F5B4" w14:textId="77777777" w:rsidR="00556C47" w:rsidRPr="002F0252" w:rsidRDefault="00556C47" w:rsidP="0007691D">
            <w:pPr>
              <w:rPr>
                <w:b/>
              </w:rPr>
            </w:pPr>
            <w:r w:rsidRPr="002F0252">
              <w:rPr>
                <w:b/>
              </w:rPr>
              <w:t>Main finding</w:t>
            </w:r>
          </w:p>
        </w:tc>
        <w:tc>
          <w:tcPr>
            <w:tcW w:w="705" w:type="pct"/>
          </w:tcPr>
          <w:p w14:paraId="196FF414" w14:textId="77777777" w:rsidR="00556C47" w:rsidRPr="002F0252" w:rsidRDefault="00556C47" w:rsidP="0007691D">
            <w:pPr>
              <w:rPr>
                <w:b/>
              </w:rPr>
            </w:pPr>
            <w:r w:rsidRPr="002F0252">
              <w:rPr>
                <w:b/>
              </w:rPr>
              <w:t>Cost implication</w:t>
            </w:r>
          </w:p>
        </w:tc>
        <w:tc>
          <w:tcPr>
            <w:tcW w:w="418" w:type="pct"/>
          </w:tcPr>
          <w:p w14:paraId="76F35624" w14:textId="77777777" w:rsidR="00556C47" w:rsidRPr="002F0252" w:rsidRDefault="00556C47" w:rsidP="0007691D">
            <w:pPr>
              <w:rPr>
                <w:b/>
              </w:rPr>
            </w:pPr>
            <w:r w:rsidRPr="002F0252">
              <w:rPr>
                <w:b/>
              </w:rPr>
              <w:t xml:space="preserve">Cost saving </w:t>
            </w:r>
          </w:p>
        </w:tc>
        <w:tc>
          <w:tcPr>
            <w:tcW w:w="935" w:type="pct"/>
          </w:tcPr>
          <w:p w14:paraId="703C89BA" w14:textId="77777777" w:rsidR="00556C47" w:rsidRPr="002F0252" w:rsidRDefault="00556C47" w:rsidP="0007691D">
            <w:pPr>
              <w:rPr>
                <w:b/>
              </w:rPr>
            </w:pPr>
            <w:r w:rsidRPr="002F0252">
              <w:rPr>
                <w:b/>
              </w:rPr>
              <w:t>Recommendation</w:t>
            </w:r>
          </w:p>
          <w:p w14:paraId="5D7C9F14" w14:textId="77777777" w:rsidR="00556C47" w:rsidRPr="002F0252" w:rsidRDefault="00556C47" w:rsidP="0007691D">
            <w:pPr>
              <w:ind w:firstLine="720"/>
            </w:pPr>
          </w:p>
        </w:tc>
        <w:tc>
          <w:tcPr>
            <w:tcW w:w="935" w:type="pct"/>
          </w:tcPr>
          <w:p w14:paraId="10EF9B82" w14:textId="77777777" w:rsidR="00556C47" w:rsidRPr="002F0252" w:rsidRDefault="00556C47" w:rsidP="0007691D">
            <w:pPr>
              <w:rPr>
                <w:b/>
              </w:rPr>
            </w:pPr>
            <w:r w:rsidRPr="002F0252">
              <w:rPr>
                <w:b/>
              </w:rPr>
              <w:t>Streng</w:t>
            </w:r>
            <w:r w:rsidR="00231B57" w:rsidRPr="002F0252">
              <w:rPr>
                <w:b/>
              </w:rPr>
              <w:t>t</w:t>
            </w:r>
            <w:r w:rsidRPr="002F0252">
              <w:rPr>
                <w:b/>
              </w:rPr>
              <w:t>h of evidence</w:t>
            </w:r>
          </w:p>
          <w:p w14:paraId="532D8A84" w14:textId="77777777" w:rsidR="00556C47" w:rsidRPr="002F0252" w:rsidRDefault="00556C47" w:rsidP="0007691D">
            <w:pPr>
              <w:rPr>
                <w:b/>
              </w:rPr>
            </w:pPr>
            <w:r w:rsidRPr="002F0252">
              <w:rPr>
                <w:b/>
              </w:rPr>
              <w:t>(weak, moderate, strong)</w:t>
            </w:r>
          </w:p>
        </w:tc>
      </w:tr>
      <w:tr w:rsidR="00231B57" w:rsidRPr="002F0252" w14:paraId="26CA29B7" w14:textId="77777777" w:rsidTr="002F3ADC">
        <w:tc>
          <w:tcPr>
            <w:tcW w:w="531" w:type="pct"/>
          </w:tcPr>
          <w:p w14:paraId="30AEDE82" w14:textId="77777777" w:rsidR="00556C47" w:rsidRPr="002F0252" w:rsidRDefault="00231B57" w:rsidP="0007691D">
            <w:r w:rsidRPr="002F0252">
              <w:t>Discouraged workers</w:t>
            </w:r>
          </w:p>
        </w:tc>
        <w:tc>
          <w:tcPr>
            <w:tcW w:w="418" w:type="pct"/>
          </w:tcPr>
          <w:p w14:paraId="3F9AE2CA" w14:textId="77777777" w:rsidR="00556C47" w:rsidRPr="002F0252" w:rsidRDefault="00231B57" w:rsidP="0007691D">
            <w:r w:rsidRPr="002F0252">
              <w:t xml:space="preserve">Heslin et al </w:t>
            </w:r>
          </w:p>
        </w:tc>
        <w:tc>
          <w:tcPr>
            <w:tcW w:w="303" w:type="pct"/>
          </w:tcPr>
          <w:p w14:paraId="33FB36C0" w14:textId="77777777" w:rsidR="00556C47" w:rsidRPr="002F0252" w:rsidRDefault="00231B57" w:rsidP="0007691D">
            <w:r w:rsidRPr="002F0252">
              <w:t>2012</w:t>
            </w:r>
          </w:p>
        </w:tc>
        <w:tc>
          <w:tcPr>
            <w:tcW w:w="755" w:type="pct"/>
          </w:tcPr>
          <w:p w14:paraId="477035A6" w14:textId="77777777" w:rsidR="00556C47" w:rsidRPr="002F0252" w:rsidRDefault="00231B57" w:rsidP="00231B57">
            <w:r w:rsidRPr="002F0252">
              <w:t>Discrimination leads stigmatised minorities to become discouraged workers.</w:t>
            </w:r>
          </w:p>
        </w:tc>
        <w:tc>
          <w:tcPr>
            <w:tcW w:w="705" w:type="pct"/>
          </w:tcPr>
          <w:p w14:paraId="36C6E93D" w14:textId="77777777" w:rsidR="00556C47" w:rsidRPr="002F0252" w:rsidRDefault="00D6711C" w:rsidP="0007691D">
            <w:r w:rsidRPr="002F0252">
              <w:t>n/a</w:t>
            </w:r>
          </w:p>
        </w:tc>
        <w:tc>
          <w:tcPr>
            <w:tcW w:w="418" w:type="pct"/>
          </w:tcPr>
          <w:p w14:paraId="07EE8B07" w14:textId="77777777" w:rsidR="00556C47" w:rsidRPr="002F0252" w:rsidRDefault="00D6711C" w:rsidP="0007691D">
            <w:r w:rsidRPr="002F0252">
              <w:t>n/a</w:t>
            </w:r>
          </w:p>
        </w:tc>
        <w:tc>
          <w:tcPr>
            <w:tcW w:w="935" w:type="pct"/>
          </w:tcPr>
          <w:p w14:paraId="6558320E" w14:textId="77777777" w:rsidR="00556C47" w:rsidRPr="002F0252" w:rsidRDefault="00D6711C" w:rsidP="0007691D">
            <w:r w:rsidRPr="002F0252">
              <w:t>Need to consider minority groups in employment initiatives.</w:t>
            </w:r>
          </w:p>
        </w:tc>
        <w:tc>
          <w:tcPr>
            <w:tcW w:w="935" w:type="pct"/>
          </w:tcPr>
          <w:p w14:paraId="03852ADE" w14:textId="77777777" w:rsidR="00556C47" w:rsidRPr="002F0252" w:rsidRDefault="00D6711C" w:rsidP="0007691D">
            <w:r w:rsidRPr="002F0252">
              <w:t>Moderate</w:t>
            </w:r>
          </w:p>
        </w:tc>
      </w:tr>
      <w:tr w:rsidR="00231B57" w:rsidRPr="002F0252" w14:paraId="18449DF8" w14:textId="77777777" w:rsidTr="002F3ADC">
        <w:tc>
          <w:tcPr>
            <w:tcW w:w="531" w:type="pct"/>
          </w:tcPr>
          <w:p w14:paraId="34AF2B9F" w14:textId="77777777" w:rsidR="00556C47" w:rsidRPr="002F0252" w:rsidRDefault="00231B57" w:rsidP="0007691D">
            <w:r w:rsidRPr="002F0252">
              <w:t>Discouraged workers</w:t>
            </w:r>
          </w:p>
        </w:tc>
        <w:tc>
          <w:tcPr>
            <w:tcW w:w="418" w:type="pct"/>
          </w:tcPr>
          <w:p w14:paraId="3F2939F2" w14:textId="77777777" w:rsidR="00556C47" w:rsidRPr="002F0252" w:rsidRDefault="00D6711C" w:rsidP="0007691D">
            <w:r w:rsidRPr="002F0252">
              <w:t>Zhan and Hample</w:t>
            </w:r>
          </w:p>
        </w:tc>
        <w:tc>
          <w:tcPr>
            <w:tcW w:w="303" w:type="pct"/>
          </w:tcPr>
          <w:p w14:paraId="2BA0C1D2" w14:textId="77777777" w:rsidR="00556C47" w:rsidRPr="002F0252" w:rsidRDefault="00D6711C" w:rsidP="0007691D">
            <w:r w:rsidRPr="002F0252">
              <w:t>2016</w:t>
            </w:r>
          </w:p>
        </w:tc>
        <w:tc>
          <w:tcPr>
            <w:tcW w:w="755" w:type="pct"/>
          </w:tcPr>
          <w:p w14:paraId="51386503" w14:textId="77777777" w:rsidR="00556C47" w:rsidRPr="002F0252" w:rsidRDefault="00FE0BA1" w:rsidP="0007691D">
            <w:r w:rsidRPr="002F0252">
              <w:t>Argumentativeness and verbal aggressiveness in the workplace are mediated by costs and benefits.</w:t>
            </w:r>
          </w:p>
        </w:tc>
        <w:tc>
          <w:tcPr>
            <w:tcW w:w="705" w:type="pct"/>
          </w:tcPr>
          <w:p w14:paraId="7B88081E" w14:textId="77777777" w:rsidR="00556C47" w:rsidRPr="002F0252" w:rsidRDefault="00FE0BA1" w:rsidP="0007691D">
            <w:r w:rsidRPr="002F0252">
              <w:t>Money and benefits are taken into account before people speak up in the workplace.</w:t>
            </w:r>
          </w:p>
        </w:tc>
        <w:tc>
          <w:tcPr>
            <w:tcW w:w="418" w:type="pct"/>
          </w:tcPr>
          <w:p w14:paraId="2CAC538C" w14:textId="77777777" w:rsidR="00556C47" w:rsidRPr="002F0252" w:rsidRDefault="00FE0BA1" w:rsidP="0007691D">
            <w:r w:rsidRPr="002F0252">
              <w:t>n/a</w:t>
            </w:r>
          </w:p>
        </w:tc>
        <w:tc>
          <w:tcPr>
            <w:tcW w:w="935" w:type="pct"/>
          </w:tcPr>
          <w:p w14:paraId="6A0DE405" w14:textId="77777777" w:rsidR="00556C47" w:rsidRPr="002F0252" w:rsidRDefault="00FE0BA1" w:rsidP="0007691D">
            <w:r w:rsidRPr="002F0252">
              <w:t>Employees may decide not to speak out against decisions in the workplace on the basis of costs and benefits, and may risk being unhappy - keeping secretes is harmful to psychological health (Finkenauer et al., 2009).</w:t>
            </w:r>
          </w:p>
        </w:tc>
        <w:tc>
          <w:tcPr>
            <w:tcW w:w="935" w:type="pct"/>
          </w:tcPr>
          <w:p w14:paraId="31F17C91" w14:textId="77777777" w:rsidR="00556C47" w:rsidRPr="002F0252" w:rsidRDefault="00FE0BA1" w:rsidP="0007691D">
            <w:r w:rsidRPr="002F0252">
              <w:t>Strong</w:t>
            </w:r>
          </w:p>
        </w:tc>
      </w:tr>
    </w:tbl>
    <w:p w14:paraId="1B6CFE06" w14:textId="77777777" w:rsidR="00DC588D" w:rsidRPr="002F0252" w:rsidRDefault="00DC588D" w:rsidP="002F3ADC">
      <w:pPr>
        <w:rPr>
          <w:b/>
        </w:rPr>
      </w:pPr>
    </w:p>
    <w:p w14:paraId="3F59F83B" w14:textId="77777777" w:rsidR="00DC588D" w:rsidRPr="002F0252" w:rsidRDefault="00DC588D">
      <w:pPr>
        <w:rPr>
          <w:b/>
        </w:rPr>
      </w:pPr>
      <w:r w:rsidRPr="002F0252">
        <w:rPr>
          <w:b/>
        </w:rPr>
        <w:br w:type="page"/>
      </w:r>
    </w:p>
    <w:p w14:paraId="7994D748" w14:textId="57317735" w:rsidR="002F3ADC" w:rsidRPr="002F0252" w:rsidRDefault="002F3ADC" w:rsidP="002F3ADC">
      <w:pPr>
        <w:rPr>
          <w:b/>
        </w:rPr>
      </w:pPr>
      <w:r w:rsidRPr="002F0252">
        <w:rPr>
          <w:b/>
        </w:rPr>
        <w:lastRenderedPageBreak/>
        <w:t xml:space="preserve">Table </w:t>
      </w:r>
      <w:r w:rsidR="00880431">
        <w:rPr>
          <w:b/>
        </w:rPr>
        <w:t>4.</w:t>
      </w:r>
      <w:r w:rsidRPr="002F0252">
        <w:rPr>
          <w:b/>
        </w:rPr>
        <w:t>2</w:t>
      </w:r>
      <w:r w:rsidRPr="002F0252">
        <w:rPr>
          <w:b/>
        </w:rPr>
        <w:tab/>
      </w:r>
      <w:r w:rsidR="00BB71D5" w:rsidRPr="002F0252">
        <w:rPr>
          <w:b/>
        </w:rPr>
        <w:t>Unseen b</w:t>
      </w:r>
      <w:r w:rsidR="00C80768" w:rsidRPr="002F0252">
        <w:rPr>
          <w:b/>
        </w:rPr>
        <w:t>arriers to employment</w:t>
      </w:r>
    </w:p>
    <w:p w14:paraId="5E13DBEB" w14:textId="77777777" w:rsidR="002F3ADC" w:rsidRPr="002F0252" w:rsidRDefault="002F3ADC" w:rsidP="002F3ADC"/>
    <w:tbl>
      <w:tblPr>
        <w:tblStyle w:val="TableGrid"/>
        <w:tblW w:w="5000" w:type="pct"/>
        <w:tblLook w:val="04A0" w:firstRow="1" w:lastRow="0" w:firstColumn="1" w:lastColumn="0" w:noHBand="0" w:noVBand="1"/>
      </w:tblPr>
      <w:tblGrid>
        <w:gridCol w:w="1576"/>
        <w:gridCol w:w="1261"/>
        <w:gridCol w:w="940"/>
        <w:gridCol w:w="1442"/>
        <w:gridCol w:w="2062"/>
        <w:gridCol w:w="1261"/>
        <w:gridCol w:w="2703"/>
        <w:gridCol w:w="2703"/>
      </w:tblGrid>
      <w:tr w:rsidR="002F3ADC" w:rsidRPr="002F0252" w14:paraId="6828E0AD" w14:textId="77777777" w:rsidTr="00C80768">
        <w:tc>
          <w:tcPr>
            <w:tcW w:w="565" w:type="pct"/>
          </w:tcPr>
          <w:p w14:paraId="3AE89C77" w14:textId="77777777" w:rsidR="002F3ADC" w:rsidRPr="002F0252" w:rsidRDefault="002F3ADC" w:rsidP="00521360">
            <w:pPr>
              <w:rPr>
                <w:b/>
              </w:rPr>
            </w:pPr>
            <w:r w:rsidRPr="002F0252">
              <w:rPr>
                <w:b/>
              </w:rPr>
              <w:t>Category of Initiative</w:t>
            </w:r>
          </w:p>
        </w:tc>
        <w:tc>
          <w:tcPr>
            <w:tcW w:w="452" w:type="pct"/>
          </w:tcPr>
          <w:p w14:paraId="08C74FC2" w14:textId="77777777" w:rsidR="002F3ADC" w:rsidRPr="002F0252" w:rsidRDefault="002F3ADC" w:rsidP="00521360">
            <w:pPr>
              <w:rPr>
                <w:b/>
              </w:rPr>
            </w:pPr>
            <w:r w:rsidRPr="002F0252">
              <w:rPr>
                <w:b/>
              </w:rPr>
              <w:t>Author</w:t>
            </w:r>
          </w:p>
        </w:tc>
        <w:tc>
          <w:tcPr>
            <w:tcW w:w="337" w:type="pct"/>
          </w:tcPr>
          <w:p w14:paraId="614B86BD" w14:textId="77777777" w:rsidR="002F3ADC" w:rsidRPr="002F0252" w:rsidRDefault="002F3ADC" w:rsidP="00521360">
            <w:pPr>
              <w:rPr>
                <w:b/>
              </w:rPr>
            </w:pPr>
            <w:r w:rsidRPr="002F0252">
              <w:rPr>
                <w:b/>
              </w:rPr>
              <w:t xml:space="preserve">Date </w:t>
            </w:r>
          </w:p>
        </w:tc>
        <w:tc>
          <w:tcPr>
            <w:tcW w:w="517" w:type="pct"/>
          </w:tcPr>
          <w:p w14:paraId="297CE285" w14:textId="77777777" w:rsidR="002F3ADC" w:rsidRPr="002F0252" w:rsidRDefault="002F3ADC" w:rsidP="00521360">
            <w:pPr>
              <w:rPr>
                <w:b/>
              </w:rPr>
            </w:pPr>
            <w:r w:rsidRPr="002F0252">
              <w:rPr>
                <w:b/>
              </w:rPr>
              <w:t>Main finding</w:t>
            </w:r>
          </w:p>
        </w:tc>
        <w:tc>
          <w:tcPr>
            <w:tcW w:w="739" w:type="pct"/>
          </w:tcPr>
          <w:p w14:paraId="370AC456" w14:textId="77777777" w:rsidR="002F3ADC" w:rsidRPr="002F0252" w:rsidRDefault="002F3ADC" w:rsidP="00521360">
            <w:pPr>
              <w:rPr>
                <w:b/>
              </w:rPr>
            </w:pPr>
            <w:r w:rsidRPr="002F0252">
              <w:rPr>
                <w:b/>
              </w:rPr>
              <w:t>Cost implication</w:t>
            </w:r>
          </w:p>
        </w:tc>
        <w:tc>
          <w:tcPr>
            <w:tcW w:w="452" w:type="pct"/>
          </w:tcPr>
          <w:p w14:paraId="331ADDAD" w14:textId="77777777" w:rsidR="002F3ADC" w:rsidRPr="002F0252" w:rsidRDefault="002F3ADC" w:rsidP="00521360">
            <w:pPr>
              <w:rPr>
                <w:b/>
              </w:rPr>
            </w:pPr>
            <w:r w:rsidRPr="002F0252">
              <w:rPr>
                <w:b/>
              </w:rPr>
              <w:t xml:space="preserve">Cost saving </w:t>
            </w:r>
          </w:p>
        </w:tc>
        <w:tc>
          <w:tcPr>
            <w:tcW w:w="969" w:type="pct"/>
          </w:tcPr>
          <w:p w14:paraId="28B705CC" w14:textId="77777777" w:rsidR="002F3ADC" w:rsidRPr="002F0252" w:rsidRDefault="002F3ADC" w:rsidP="00521360">
            <w:pPr>
              <w:rPr>
                <w:b/>
              </w:rPr>
            </w:pPr>
            <w:r w:rsidRPr="002F0252">
              <w:rPr>
                <w:b/>
              </w:rPr>
              <w:t>Recommendation</w:t>
            </w:r>
          </w:p>
          <w:p w14:paraId="106635AF" w14:textId="77777777" w:rsidR="002F3ADC" w:rsidRPr="002F0252" w:rsidRDefault="002F3ADC" w:rsidP="00521360">
            <w:pPr>
              <w:ind w:firstLine="720"/>
            </w:pPr>
          </w:p>
        </w:tc>
        <w:tc>
          <w:tcPr>
            <w:tcW w:w="969" w:type="pct"/>
          </w:tcPr>
          <w:p w14:paraId="3C26347F" w14:textId="77777777" w:rsidR="002F3ADC" w:rsidRPr="002F0252" w:rsidRDefault="002F3ADC" w:rsidP="00521360">
            <w:pPr>
              <w:rPr>
                <w:b/>
              </w:rPr>
            </w:pPr>
            <w:r w:rsidRPr="002F0252">
              <w:rPr>
                <w:b/>
              </w:rPr>
              <w:t>Strength of evidence</w:t>
            </w:r>
          </w:p>
          <w:p w14:paraId="20B8AF46" w14:textId="77777777" w:rsidR="002F3ADC" w:rsidRPr="002F0252" w:rsidRDefault="002F3ADC" w:rsidP="00521360">
            <w:pPr>
              <w:rPr>
                <w:b/>
              </w:rPr>
            </w:pPr>
            <w:r w:rsidRPr="002F0252">
              <w:rPr>
                <w:b/>
              </w:rPr>
              <w:t>(weak, moderate, strong)</w:t>
            </w:r>
          </w:p>
        </w:tc>
      </w:tr>
      <w:tr w:rsidR="002F3ADC" w:rsidRPr="002F0252" w14:paraId="502E9DC8" w14:textId="77777777" w:rsidTr="00C80768">
        <w:tc>
          <w:tcPr>
            <w:tcW w:w="565" w:type="pct"/>
          </w:tcPr>
          <w:p w14:paraId="03403B4C" w14:textId="77777777" w:rsidR="002F3ADC" w:rsidRPr="002F0252" w:rsidRDefault="00C80768" w:rsidP="00521360">
            <w:r w:rsidRPr="002F0252">
              <w:t>Barriers to employment</w:t>
            </w:r>
          </w:p>
        </w:tc>
        <w:tc>
          <w:tcPr>
            <w:tcW w:w="452" w:type="pct"/>
          </w:tcPr>
          <w:p w14:paraId="522F7C0B" w14:textId="77777777" w:rsidR="002F3ADC" w:rsidRPr="002F0252" w:rsidRDefault="00521360" w:rsidP="00521360">
            <w:r w:rsidRPr="002F0252">
              <w:t>Bonoli</w:t>
            </w:r>
          </w:p>
        </w:tc>
        <w:tc>
          <w:tcPr>
            <w:tcW w:w="337" w:type="pct"/>
          </w:tcPr>
          <w:p w14:paraId="02B69D00" w14:textId="77777777" w:rsidR="002F3ADC" w:rsidRPr="002F0252" w:rsidRDefault="00521360" w:rsidP="00521360">
            <w:r w:rsidRPr="002F0252">
              <w:t>2014</w:t>
            </w:r>
          </w:p>
        </w:tc>
        <w:tc>
          <w:tcPr>
            <w:tcW w:w="517" w:type="pct"/>
          </w:tcPr>
          <w:p w14:paraId="32B1BBCD" w14:textId="77777777" w:rsidR="002F3ADC" w:rsidRPr="002F0252" w:rsidRDefault="00C126B1" w:rsidP="00521360">
            <w:r w:rsidRPr="002F0252">
              <w:t>Many unemployed people are not making use of personal networks because they are not aware of the importance of this method for recruitment into a job.</w:t>
            </w:r>
          </w:p>
        </w:tc>
        <w:tc>
          <w:tcPr>
            <w:tcW w:w="739" w:type="pct"/>
          </w:tcPr>
          <w:p w14:paraId="677E8728" w14:textId="77777777" w:rsidR="002F3ADC" w:rsidRPr="002F0252" w:rsidRDefault="009A7B8B" w:rsidP="00521360">
            <w:r w:rsidRPr="002F0252">
              <w:t>n/a</w:t>
            </w:r>
          </w:p>
        </w:tc>
        <w:tc>
          <w:tcPr>
            <w:tcW w:w="452" w:type="pct"/>
          </w:tcPr>
          <w:p w14:paraId="7C13F8A6" w14:textId="77777777" w:rsidR="002F3ADC" w:rsidRPr="002F0252" w:rsidRDefault="009A7B8B" w:rsidP="00521360">
            <w:r w:rsidRPr="002F0252">
              <w:t>n/a</w:t>
            </w:r>
          </w:p>
        </w:tc>
        <w:tc>
          <w:tcPr>
            <w:tcW w:w="969" w:type="pct"/>
          </w:tcPr>
          <w:p w14:paraId="2536E075" w14:textId="77777777" w:rsidR="002F3ADC" w:rsidRPr="002F0252" w:rsidRDefault="00C126B1" w:rsidP="00521360">
            <w:r w:rsidRPr="002F0252">
              <w:t>As many job seekers are not aware that networking with informal contacts is an important recruitment method, there should be simple interventions aimed at raising such awareness.</w:t>
            </w:r>
          </w:p>
        </w:tc>
        <w:tc>
          <w:tcPr>
            <w:tcW w:w="969" w:type="pct"/>
          </w:tcPr>
          <w:p w14:paraId="454DAE90" w14:textId="77777777" w:rsidR="002F3ADC" w:rsidRPr="002F0252" w:rsidRDefault="00C126B1" w:rsidP="00521360">
            <w:r w:rsidRPr="002F0252">
              <w:t>Strong</w:t>
            </w:r>
          </w:p>
        </w:tc>
      </w:tr>
    </w:tbl>
    <w:p w14:paraId="2767E8D6" w14:textId="77777777" w:rsidR="00556C47" w:rsidRPr="002F0252" w:rsidRDefault="00556C47" w:rsidP="00556C47"/>
    <w:p w14:paraId="585C11CA" w14:textId="77777777" w:rsidR="00556C47" w:rsidRPr="002F0252" w:rsidRDefault="00556C47" w:rsidP="00556C47"/>
    <w:p w14:paraId="5F234720" w14:textId="77777777" w:rsidR="00BB71D5" w:rsidRPr="002F0252" w:rsidRDefault="00BB71D5" w:rsidP="00556C47"/>
    <w:p w14:paraId="676C812C" w14:textId="77777777" w:rsidR="00BB71D5" w:rsidRPr="002F0252" w:rsidRDefault="00BB71D5" w:rsidP="00556C47"/>
    <w:p w14:paraId="48A45A10" w14:textId="77777777" w:rsidR="00BB71D5" w:rsidRPr="002F0252" w:rsidRDefault="00BB71D5" w:rsidP="00556C47"/>
    <w:p w14:paraId="641FF2EC" w14:textId="77777777" w:rsidR="00BB71D5" w:rsidRPr="002F0252" w:rsidRDefault="00BB71D5" w:rsidP="00556C47"/>
    <w:p w14:paraId="38B74324" w14:textId="77777777" w:rsidR="00BB71D5" w:rsidRPr="002F0252" w:rsidRDefault="00BB71D5" w:rsidP="00556C47"/>
    <w:p w14:paraId="69979C22" w14:textId="5F11B353" w:rsidR="00BB71D5" w:rsidRPr="002F0252" w:rsidRDefault="00BB71D5" w:rsidP="00BB71D5">
      <w:pPr>
        <w:rPr>
          <w:b/>
        </w:rPr>
      </w:pPr>
      <w:r w:rsidRPr="002F0252">
        <w:rPr>
          <w:b/>
        </w:rPr>
        <w:lastRenderedPageBreak/>
        <w:t xml:space="preserve">Table </w:t>
      </w:r>
      <w:r w:rsidR="00880431">
        <w:rPr>
          <w:b/>
        </w:rPr>
        <w:t>4.</w:t>
      </w:r>
      <w:r w:rsidRPr="002F0252">
        <w:rPr>
          <w:b/>
        </w:rPr>
        <w:t>3</w:t>
      </w:r>
      <w:r w:rsidRPr="002F0252">
        <w:rPr>
          <w:b/>
        </w:rPr>
        <w:tab/>
        <w:t>Employer initiatives to reduce staff burn-out and staff turnover including healthy eating and weight loss initiatives</w:t>
      </w:r>
    </w:p>
    <w:p w14:paraId="784DBF4E" w14:textId="77777777" w:rsidR="00BB71D5" w:rsidRPr="002F0252" w:rsidRDefault="00BB71D5" w:rsidP="00BB71D5"/>
    <w:tbl>
      <w:tblPr>
        <w:tblStyle w:val="TableGrid"/>
        <w:tblW w:w="5000" w:type="pct"/>
        <w:tblLook w:val="04A0" w:firstRow="1" w:lastRow="0" w:firstColumn="1" w:lastColumn="0" w:noHBand="0" w:noVBand="1"/>
      </w:tblPr>
      <w:tblGrid>
        <w:gridCol w:w="1526"/>
        <w:gridCol w:w="1266"/>
        <w:gridCol w:w="893"/>
        <w:gridCol w:w="1395"/>
        <w:gridCol w:w="2014"/>
        <w:gridCol w:w="1545"/>
        <w:gridCol w:w="2656"/>
        <w:gridCol w:w="2653"/>
      </w:tblGrid>
      <w:tr w:rsidR="007B4C27" w:rsidRPr="002F0252" w14:paraId="4D180953" w14:textId="77777777" w:rsidTr="00F84350">
        <w:trPr>
          <w:tblHeader/>
        </w:trPr>
        <w:tc>
          <w:tcPr>
            <w:tcW w:w="547" w:type="pct"/>
          </w:tcPr>
          <w:p w14:paraId="59B1164F" w14:textId="77777777" w:rsidR="00BB71D5" w:rsidRPr="002F0252" w:rsidRDefault="00BB71D5" w:rsidP="00F84350">
            <w:pPr>
              <w:rPr>
                <w:b/>
              </w:rPr>
            </w:pPr>
            <w:r w:rsidRPr="002F0252">
              <w:rPr>
                <w:b/>
              </w:rPr>
              <w:t>Category of Initiative</w:t>
            </w:r>
          </w:p>
        </w:tc>
        <w:tc>
          <w:tcPr>
            <w:tcW w:w="454" w:type="pct"/>
          </w:tcPr>
          <w:p w14:paraId="79B1C204" w14:textId="77777777" w:rsidR="00BB71D5" w:rsidRPr="002F0252" w:rsidRDefault="00BB71D5" w:rsidP="00F84350">
            <w:pPr>
              <w:rPr>
                <w:b/>
              </w:rPr>
            </w:pPr>
            <w:r w:rsidRPr="002F0252">
              <w:rPr>
                <w:b/>
              </w:rPr>
              <w:t>Author</w:t>
            </w:r>
          </w:p>
        </w:tc>
        <w:tc>
          <w:tcPr>
            <w:tcW w:w="320" w:type="pct"/>
          </w:tcPr>
          <w:p w14:paraId="336D142E" w14:textId="77777777" w:rsidR="00BB71D5" w:rsidRPr="002F0252" w:rsidRDefault="00BB71D5" w:rsidP="00F84350">
            <w:pPr>
              <w:rPr>
                <w:b/>
              </w:rPr>
            </w:pPr>
            <w:r w:rsidRPr="002F0252">
              <w:rPr>
                <w:b/>
              </w:rPr>
              <w:t xml:space="preserve">Date </w:t>
            </w:r>
          </w:p>
        </w:tc>
        <w:tc>
          <w:tcPr>
            <w:tcW w:w="500" w:type="pct"/>
          </w:tcPr>
          <w:p w14:paraId="7AAC04F2" w14:textId="77777777" w:rsidR="00BB71D5" w:rsidRPr="002F0252" w:rsidRDefault="00BB71D5" w:rsidP="00F84350">
            <w:pPr>
              <w:rPr>
                <w:b/>
              </w:rPr>
            </w:pPr>
            <w:r w:rsidRPr="002F0252">
              <w:rPr>
                <w:b/>
              </w:rPr>
              <w:t>Main finding</w:t>
            </w:r>
          </w:p>
        </w:tc>
        <w:tc>
          <w:tcPr>
            <w:tcW w:w="722" w:type="pct"/>
          </w:tcPr>
          <w:p w14:paraId="3446A8C2" w14:textId="77777777" w:rsidR="00BB71D5" w:rsidRPr="002F0252" w:rsidRDefault="00BB71D5" w:rsidP="00F84350">
            <w:pPr>
              <w:rPr>
                <w:b/>
              </w:rPr>
            </w:pPr>
            <w:r w:rsidRPr="002F0252">
              <w:rPr>
                <w:b/>
              </w:rPr>
              <w:t>Cost implication</w:t>
            </w:r>
          </w:p>
        </w:tc>
        <w:tc>
          <w:tcPr>
            <w:tcW w:w="554" w:type="pct"/>
          </w:tcPr>
          <w:p w14:paraId="15C4E33C" w14:textId="77777777" w:rsidR="00BB71D5" w:rsidRPr="002F0252" w:rsidRDefault="00BB71D5" w:rsidP="00F84350">
            <w:pPr>
              <w:rPr>
                <w:b/>
              </w:rPr>
            </w:pPr>
            <w:r w:rsidRPr="002F0252">
              <w:rPr>
                <w:b/>
              </w:rPr>
              <w:t xml:space="preserve">Cost saving </w:t>
            </w:r>
          </w:p>
        </w:tc>
        <w:tc>
          <w:tcPr>
            <w:tcW w:w="952" w:type="pct"/>
          </w:tcPr>
          <w:p w14:paraId="3D4E3696" w14:textId="77777777" w:rsidR="00BB71D5" w:rsidRPr="002F0252" w:rsidRDefault="00BB71D5" w:rsidP="00F84350">
            <w:pPr>
              <w:rPr>
                <w:b/>
              </w:rPr>
            </w:pPr>
            <w:r w:rsidRPr="002F0252">
              <w:rPr>
                <w:b/>
              </w:rPr>
              <w:t>Recommendation</w:t>
            </w:r>
          </w:p>
          <w:p w14:paraId="7C90DE66" w14:textId="77777777" w:rsidR="00BB71D5" w:rsidRPr="002F0252" w:rsidRDefault="00BB71D5" w:rsidP="00F84350">
            <w:pPr>
              <w:ind w:firstLine="720"/>
            </w:pPr>
          </w:p>
        </w:tc>
        <w:tc>
          <w:tcPr>
            <w:tcW w:w="952" w:type="pct"/>
          </w:tcPr>
          <w:p w14:paraId="5CB0DAF3" w14:textId="77777777" w:rsidR="00BB71D5" w:rsidRPr="002F0252" w:rsidRDefault="00BB71D5" w:rsidP="00F84350">
            <w:pPr>
              <w:rPr>
                <w:b/>
              </w:rPr>
            </w:pPr>
            <w:r w:rsidRPr="002F0252">
              <w:rPr>
                <w:b/>
              </w:rPr>
              <w:t>Strength of evidence</w:t>
            </w:r>
          </w:p>
          <w:p w14:paraId="07CC8BB3" w14:textId="77777777" w:rsidR="00BB71D5" w:rsidRPr="002F0252" w:rsidRDefault="00BB71D5" w:rsidP="00F84350">
            <w:pPr>
              <w:rPr>
                <w:b/>
              </w:rPr>
            </w:pPr>
            <w:r w:rsidRPr="002F0252">
              <w:rPr>
                <w:b/>
              </w:rPr>
              <w:t>(weak, moderate, strong)</w:t>
            </w:r>
          </w:p>
        </w:tc>
      </w:tr>
      <w:tr w:rsidR="007B4C27" w:rsidRPr="002F0252" w14:paraId="5132590F" w14:textId="77777777" w:rsidTr="00F84350">
        <w:tc>
          <w:tcPr>
            <w:tcW w:w="547" w:type="pct"/>
          </w:tcPr>
          <w:p w14:paraId="2E2A90F1" w14:textId="77777777" w:rsidR="00BB71D5" w:rsidRPr="002F0252" w:rsidRDefault="00BB71D5" w:rsidP="00BB71D5">
            <w:r w:rsidRPr="002F0252">
              <w:t>Weight loss initiatives</w:t>
            </w:r>
          </w:p>
        </w:tc>
        <w:tc>
          <w:tcPr>
            <w:tcW w:w="454" w:type="pct"/>
          </w:tcPr>
          <w:p w14:paraId="32073495" w14:textId="77777777" w:rsidR="00BB71D5" w:rsidRPr="002F0252" w:rsidRDefault="00BB71D5" w:rsidP="00F84350">
            <w:r w:rsidRPr="002F0252">
              <w:t xml:space="preserve">Finkelstein and Brown </w:t>
            </w:r>
          </w:p>
        </w:tc>
        <w:tc>
          <w:tcPr>
            <w:tcW w:w="320" w:type="pct"/>
          </w:tcPr>
          <w:p w14:paraId="59791976" w14:textId="77777777" w:rsidR="00BB71D5" w:rsidRPr="002F0252" w:rsidRDefault="00BB71D5" w:rsidP="00F84350">
            <w:r w:rsidRPr="002F0252">
              <w:t>2005</w:t>
            </w:r>
          </w:p>
        </w:tc>
        <w:tc>
          <w:tcPr>
            <w:tcW w:w="500" w:type="pct"/>
          </w:tcPr>
          <w:p w14:paraId="15D29BD6" w14:textId="77777777" w:rsidR="00BB71D5" w:rsidRPr="002F0252" w:rsidRDefault="00BB71D5" w:rsidP="00F84350">
            <w:r w:rsidRPr="002F0252">
              <w:t xml:space="preserve">A simulation model found that 5 or more years of follow-up after bariatric surgery are most likely required for the operations to become cost saving to employers, unless the employee bears a significant fraction of </w:t>
            </w:r>
            <w:r w:rsidRPr="002F0252">
              <w:lastRenderedPageBreak/>
              <w:t>the total costs of the surgery.</w:t>
            </w:r>
          </w:p>
        </w:tc>
        <w:tc>
          <w:tcPr>
            <w:tcW w:w="722" w:type="pct"/>
          </w:tcPr>
          <w:p w14:paraId="4BB11DA9" w14:textId="77777777" w:rsidR="00BB71D5" w:rsidRPr="002F0252" w:rsidRDefault="005B5984" w:rsidP="00F84350">
            <w:r w:rsidRPr="002F0252">
              <w:lastRenderedPageBreak/>
              <w:t>Obese workers eligible for bariatric surgery have 5.1 additional days of work loss and $2230 (in 2014 dollars) higher annual medical costs than persons of normal weight.</w:t>
            </w:r>
          </w:p>
        </w:tc>
        <w:tc>
          <w:tcPr>
            <w:tcW w:w="554" w:type="pct"/>
          </w:tcPr>
          <w:p w14:paraId="64CBA9B8" w14:textId="77777777" w:rsidR="00BB71D5" w:rsidRPr="002F0252" w:rsidRDefault="005B5984" w:rsidP="00F84350">
            <w:r w:rsidRPr="002F0252">
              <w:t xml:space="preserve">Medical costs would be $2230 (in 2014 dollars) lower if the person would be of normal weight (compared to morbidly obese). </w:t>
            </w:r>
          </w:p>
        </w:tc>
        <w:tc>
          <w:tcPr>
            <w:tcW w:w="952" w:type="pct"/>
          </w:tcPr>
          <w:p w14:paraId="743AE310" w14:textId="77777777" w:rsidR="00BB71D5" w:rsidRPr="002F0252" w:rsidRDefault="005B5984" w:rsidP="00F84350">
            <w:r w:rsidRPr="002F0252">
              <w:t>A bariatric surgery patient would need to be followed-up for 5 years to ensure that the surgery benefitted the employer.</w:t>
            </w:r>
          </w:p>
        </w:tc>
        <w:tc>
          <w:tcPr>
            <w:tcW w:w="952" w:type="pct"/>
          </w:tcPr>
          <w:p w14:paraId="1225DA3F" w14:textId="77777777" w:rsidR="00BB71D5" w:rsidRPr="002F0252" w:rsidRDefault="005B5984" w:rsidP="00F84350">
            <w:r w:rsidRPr="002F0252">
              <w:t>Strong</w:t>
            </w:r>
          </w:p>
        </w:tc>
      </w:tr>
      <w:tr w:rsidR="00BB71D5" w:rsidRPr="002F0252" w14:paraId="6583BFA1" w14:textId="77777777" w:rsidTr="00F84350">
        <w:tc>
          <w:tcPr>
            <w:tcW w:w="547" w:type="pct"/>
          </w:tcPr>
          <w:p w14:paraId="138F7ACE" w14:textId="77777777" w:rsidR="00BB71D5" w:rsidRPr="002F0252" w:rsidRDefault="00656EF4" w:rsidP="00BB71D5">
            <w:r w:rsidRPr="002F0252">
              <w:t>Weight loss initiatives</w:t>
            </w:r>
          </w:p>
        </w:tc>
        <w:tc>
          <w:tcPr>
            <w:tcW w:w="454" w:type="pct"/>
          </w:tcPr>
          <w:p w14:paraId="0266E8F6" w14:textId="77777777" w:rsidR="00BB71D5" w:rsidRPr="002F0252" w:rsidRDefault="00656EF4" w:rsidP="00F84350">
            <w:r w:rsidRPr="002F0252">
              <w:t xml:space="preserve">Meenan et al </w:t>
            </w:r>
          </w:p>
        </w:tc>
        <w:tc>
          <w:tcPr>
            <w:tcW w:w="320" w:type="pct"/>
          </w:tcPr>
          <w:p w14:paraId="4103DAB7" w14:textId="77777777" w:rsidR="00BB71D5" w:rsidRPr="002F0252" w:rsidRDefault="00656EF4" w:rsidP="00F84350">
            <w:r w:rsidRPr="002F0252">
              <w:t>2010</w:t>
            </w:r>
          </w:p>
        </w:tc>
        <w:tc>
          <w:tcPr>
            <w:tcW w:w="500" w:type="pct"/>
          </w:tcPr>
          <w:p w14:paraId="4BEA84E9" w14:textId="77777777" w:rsidR="00BB71D5" w:rsidRPr="002F0252" w:rsidRDefault="00C837EE" w:rsidP="00F84350">
            <w:r w:rsidRPr="002F0252">
              <w:t xml:space="preserve">There were modest savings in the second year to a Work, Weight and Wellness (3W) weight loss </w:t>
            </w:r>
            <w:r w:rsidR="00E754ED" w:rsidRPr="002F0252">
              <w:t>programme</w:t>
            </w:r>
            <w:r w:rsidRPr="002F0252">
              <w:t xml:space="preserve"> delivered through Hawaii hotel worksites.</w:t>
            </w:r>
          </w:p>
        </w:tc>
        <w:tc>
          <w:tcPr>
            <w:tcW w:w="722" w:type="pct"/>
          </w:tcPr>
          <w:p w14:paraId="7EF9B4BC" w14:textId="77777777" w:rsidR="00BB71D5" w:rsidRPr="002F0252" w:rsidRDefault="007B4C27" w:rsidP="00F84350">
            <w:r w:rsidRPr="002F0252">
              <w:t>The cost of the 3W intervention over 24 months was $1.12M dollars.</w:t>
            </w:r>
          </w:p>
        </w:tc>
        <w:tc>
          <w:tcPr>
            <w:tcW w:w="554" w:type="pct"/>
          </w:tcPr>
          <w:p w14:paraId="4C97852F" w14:textId="77777777" w:rsidR="00BB71D5" w:rsidRPr="002F0252" w:rsidRDefault="007B4C27" w:rsidP="007B4C27">
            <w:r w:rsidRPr="002F0252">
              <w:t>The authors found that a presenteeism improvement of 50% combined with baseline 10% productivity shortfall was required to generate positive 24 month intervention for net present value.</w:t>
            </w:r>
          </w:p>
        </w:tc>
        <w:tc>
          <w:tcPr>
            <w:tcW w:w="952" w:type="pct"/>
          </w:tcPr>
          <w:p w14:paraId="6BDD43B3" w14:textId="77777777" w:rsidR="00BB71D5" w:rsidRPr="002F0252" w:rsidRDefault="007B4C27" w:rsidP="00F84350">
            <w:r w:rsidRPr="002F0252">
              <w:t>Future research should focus on identifying approaches to deal directly with higher-risk sub-groups, for which the economic return to employers may be more compelling.</w:t>
            </w:r>
          </w:p>
        </w:tc>
        <w:tc>
          <w:tcPr>
            <w:tcW w:w="952" w:type="pct"/>
          </w:tcPr>
          <w:p w14:paraId="227B0BE3" w14:textId="77777777" w:rsidR="00BB71D5" w:rsidRPr="002F0252" w:rsidRDefault="007B4C27" w:rsidP="00F84350">
            <w:r w:rsidRPr="002F0252">
              <w:t>Strong</w:t>
            </w:r>
          </w:p>
        </w:tc>
      </w:tr>
    </w:tbl>
    <w:p w14:paraId="0A5B7E39" w14:textId="77777777" w:rsidR="00BB71D5" w:rsidRPr="002F0252" w:rsidRDefault="00BB71D5" w:rsidP="00BB71D5"/>
    <w:p w14:paraId="73061869" w14:textId="77777777" w:rsidR="00BB71D5" w:rsidRPr="002F0252" w:rsidRDefault="00BB71D5" w:rsidP="00556C47"/>
    <w:p w14:paraId="4BE36DD4" w14:textId="77777777" w:rsidR="00F84350" w:rsidRPr="002F0252" w:rsidRDefault="00F84350" w:rsidP="00556C47"/>
    <w:p w14:paraId="6EF93741" w14:textId="77777777" w:rsidR="00F84350" w:rsidRPr="002F0252" w:rsidRDefault="00F84350" w:rsidP="00556C47"/>
    <w:p w14:paraId="69C99F43" w14:textId="72A6ADB7" w:rsidR="00F84350" w:rsidRPr="002F0252" w:rsidRDefault="00F84350" w:rsidP="00F84350">
      <w:pPr>
        <w:rPr>
          <w:b/>
        </w:rPr>
      </w:pPr>
      <w:r w:rsidRPr="002F0252">
        <w:rPr>
          <w:b/>
        </w:rPr>
        <w:lastRenderedPageBreak/>
        <w:t xml:space="preserve">Table </w:t>
      </w:r>
      <w:r w:rsidR="00880431">
        <w:rPr>
          <w:b/>
        </w:rPr>
        <w:t>4.</w:t>
      </w:r>
      <w:r w:rsidRPr="002F0252">
        <w:rPr>
          <w:b/>
        </w:rPr>
        <w:t>4</w:t>
      </w:r>
      <w:r w:rsidRPr="002F0252">
        <w:rPr>
          <w:b/>
        </w:rPr>
        <w:tab/>
        <w:t>Sickness absence interventions</w:t>
      </w:r>
    </w:p>
    <w:p w14:paraId="76EFC7D8" w14:textId="77777777" w:rsidR="00F84350" w:rsidRPr="002F0252" w:rsidRDefault="00F84350" w:rsidP="00F84350"/>
    <w:tbl>
      <w:tblPr>
        <w:tblStyle w:val="TableGrid"/>
        <w:tblW w:w="5000" w:type="pct"/>
        <w:tblLook w:val="04A0" w:firstRow="1" w:lastRow="0" w:firstColumn="1" w:lastColumn="0" w:noHBand="0" w:noVBand="1"/>
      </w:tblPr>
      <w:tblGrid>
        <w:gridCol w:w="1517"/>
        <w:gridCol w:w="1244"/>
        <w:gridCol w:w="879"/>
        <w:gridCol w:w="1501"/>
        <w:gridCol w:w="2000"/>
        <w:gridCol w:w="1529"/>
        <w:gridCol w:w="2642"/>
        <w:gridCol w:w="2636"/>
      </w:tblGrid>
      <w:tr w:rsidR="00F84350" w:rsidRPr="002F0252" w14:paraId="7D375E6E" w14:textId="77777777" w:rsidTr="001B4DEF">
        <w:trPr>
          <w:tblHeader/>
        </w:trPr>
        <w:tc>
          <w:tcPr>
            <w:tcW w:w="544" w:type="pct"/>
          </w:tcPr>
          <w:p w14:paraId="67D2A8FF" w14:textId="77777777" w:rsidR="00F84350" w:rsidRPr="002F0252" w:rsidRDefault="00F84350" w:rsidP="00F84350">
            <w:pPr>
              <w:rPr>
                <w:b/>
              </w:rPr>
            </w:pPr>
            <w:r w:rsidRPr="002F0252">
              <w:rPr>
                <w:b/>
              </w:rPr>
              <w:t>Category of Initiative</w:t>
            </w:r>
          </w:p>
        </w:tc>
        <w:tc>
          <w:tcPr>
            <w:tcW w:w="446" w:type="pct"/>
          </w:tcPr>
          <w:p w14:paraId="17AA1E79" w14:textId="77777777" w:rsidR="00F84350" w:rsidRPr="002F0252" w:rsidRDefault="00F84350" w:rsidP="00F84350">
            <w:pPr>
              <w:rPr>
                <w:b/>
              </w:rPr>
            </w:pPr>
            <w:r w:rsidRPr="002F0252">
              <w:rPr>
                <w:b/>
              </w:rPr>
              <w:t>Author</w:t>
            </w:r>
          </w:p>
        </w:tc>
        <w:tc>
          <w:tcPr>
            <w:tcW w:w="315" w:type="pct"/>
          </w:tcPr>
          <w:p w14:paraId="745FC7A5" w14:textId="77777777" w:rsidR="00F84350" w:rsidRPr="002F0252" w:rsidRDefault="00F84350" w:rsidP="00F84350">
            <w:pPr>
              <w:rPr>
                <w:b/>
              </w:rPr>
            </w:pPr>
            <w:r w:rsidRPr="002F0252">
              <w:rPr>
                <w:b/>
              </w:rPr>
              <w:t xml:space="preserve">Date </w:t>
            </w:r>
          </w:p>
        </w:tc>
        <w:tc>
          <w:tcPr>
            <w:tcW w:w="538" w:type="pct"/>
          </w:tcPr>
          <w:p w14:paraId="197AEDEB" w14:textId="77777777" w:rsidR="00F84350" w:rsidRPr="002F0252" w:rsidRDefault="00F84350" w:rsidP="00F84350">
            <w:pPr>
              <w:rPr>
                <w:b/>
              </w:rPr>
            </w:pPr>
            <w:r w:rsidRPr="002F0252">
              <w:rPr>
                <w:b/>
              </w:rPr>
              <w:t>Main finding</w:t>
            </w:r>
          </w:p>
        </w:tc>
        <w:tc>
          <w:tcPr>
            <w:tcW w:w="717" w:type="pct"/>
          </w:tcPr>
          <w:p w14:paraId="1C061648" w14:textId="77777777" w:rsidR="00F84350" w:rsidRPr="002F0252" w:rsidRDefault="00F84350" w:rsidP="00F84350">
            <w:pPr>
              <w:rPr>
                <w:b/>
              </w:rPr>
            </w:pPr>
            <w:r w:rsidRPr="002F0252">
              <w:rPr>
                <w:b/>
              </w:rPr>
              <w:t>Cost implication</w:t>
            </w:r>
          </w:p>
        </w:tc>
        <w:tc>
          <w:tcPr>
            <w:tcW w:w="548" w:type="pct"/>
          </w:tcPr>
          <w:p w14:paraId="30918DB1" w14:textId="77777777" w:rsidR="00F84350" w:rsidRPr="002F0252" w:rsidRDefault="00F84350" w:rsidP="00F84350">
            <w:pPr>
              <w:rPr>
                <w:b/>
              </w:rPr>
            </w:pPr>
            <w:r w:rsidRPr="002F0252">
              <w:rPr>
                <w:b/>
              </w:rPr>
              <w:t xml:space="preserve">Cost saving </w:t>
            </w:r>
          </w:p>
        </w:tc>
        <w:tc>
          <w:tcPr>
            <w:tcW w:w="947" w:type="pct"/>
          </w:tcPr>
          <w:p w14:paraId="5AF5885B" w14:textId="77777777" w:rsidR="00F84350" w:rsidRPr="002F0252" w:rsidRDefault="00F84350" w:rsidP="00F84350">
            <w:pPr>
              <w:rPr>
                <w:b/>
              </w:rPr>
            </w:pPr>
            <w:r w:rsidRPr="002F0252">
              <w:rPr>
                <w:b/>
              </w:rPr>
              <w:t>Recommendation</w:t>
            </w:r>
          </w:p>
          <w:p w14:paraId="187CE8B9" w14:textId="77777777" w:rsidR="00F84350" w:rsidRPr="002F0252" w:rsidRDefault="00F84350" w:rsidP="00F84350">
            <w:pPr>
              <w:ind w:firstLine="720"/>
            </w:pPr>
          </w:p>
        </w:tc>
        <w:tc>
          <w:tcPr>
            <w:tcW w:w="945" w:type="pct"/>
          </w:tcPr>
          <w:p w14:paraId="0AF8B6A2" w14:textId="77777777" w:rsidR="00F84350" w:rsidRPr="002F0252" w:rsidRDefault="00F84350" w:rsidP="00F84350">
            <w:pPr>
              <w:rPr>
                <w:b/>
              </w:rPr>
            </w:pPr>
            <w:r w:rsidRPr="002F0252">
              <w:rPr>
                <w:b/>
              </w:rPr>
              <w:t>Strength of evidence</w:t>
            </w:r>
          </w:p>
          <w:p w14:paraId="02832BE3" w14:textId="77777777" w:rsidR="00F84350" w:rsidRPr="002F0252" w:rsidRDefault="00F84350" w:rsidP="00F84350">
            <w:pPr>
              <w:rPr>
                <w:b/>
              </w:rPr>
            </w:pPr>
            <w:r w:rsidRPr="002F0252">
              <w:rPr>
                <w:b/>
              </w:rPr>
              <w:t>(weak, moderate, strong)</w:t>
            </w:r>
          </w:p>
        </w:tc>
      </w:tr>
      <w:tr w:rsidR="00F84350" w:rsidRPr="002F0252" w14:paraId="06DC361A" w14:textId="77777777" w:rsidTr="001B4DEF">
        <w:tc>
          <w:tcPr>
            <w:tcW w:w="544" w:type="pct"/>
          </w:tcPr>
          <w:p w14:paraId="502EA04B" w14:textId="77777777" w:rsidR="00F84350" w:rsidRPr="002F0252" w:rsidRDefault="00F84350" w:rsidP="00F84350">
            <w:r w:rsidRPr="002F0252">
              <w:t>Sickness absence interventions</w:t>
            </w:r>
          </w:p>
        </w:tc>
        <w:tc>
          <w:tcPr>
            <w:tcW w:w="446" w:type="pct"/>
          </w:tcPr>
          <w:p w14:paraId="27C8313E" w14:textId="77777777" w:rsidR="00F84350" w:rsidRPr="002F0252" w:rsidRDefault="00F84350" w:rsidP="00F84350">
            <w:r w:rsidRPr="002F0252">
              <w:t>Arends et al</w:t>
            </w:r>
          </w:p>
        </w:tc>
        <w:tc>
          <w:tcPr>
            <w:tcW w:w="315" w:type="pct"/>
          </w:tcPr>
          <w:p w14:paraId="4615E2C0" w14:textId="77777777" w:rsidR="00F84350" w:rsidRPr="002F0252" w:rsidRDefault="00F84350" w:rsidP="00F84350">
            <w:r w:rsidRPr="002F0252">
              <w:t>2013</w:t>
            </w:r>
          </w:p>
        </w:tc>
        <w:tc>
          <w:tcPr>
            <w:tcW w:w="538" w:type="pct"/>
          </w:tcPr>
          <w:p w14:paraId="50A8C7AD" w14:textId="77777777" w:rsidR="00F84350" w:rsidRPr="002F0252" w:rsidRDefault="00F84350" w:rsidP="00F84350">
            <w:r w:rsidRPr="002F0252">
              <w:t xml:space="preserve">A cost-effectiveness analysis showed that the SHARP –at work intervention (for common mental disorders) was more effective but also more expensive than care as usual. The cost-benefit analysis revealed that employers occupational health care </w:t>
            </w:r>
            <w:r w:rsidRPr="002F0252">
              <w:lastRenderedPageBreak/>
              <w:t>costs were significantly higher in the intervention group compared to care as usual. Overall the SHARP-at work intervention showed no economic benefit compared to care as usual.</w:t>
            </w:r>
          </w:p>
        </w:tc>
        <w:tc>
          <w:tcPr>
            <w:tcW w:w="717" w:type="pct"/>
          </w:tcPr>
          <w:p w14:paraId="76010F36" w14:textId="77777777" w:rsidR="00F84350" w:rsidRPr="002F0252" w:rsidRDefault="00F84350" w:rsidP="00F84350">
            <w:r w:rsidRPr="002F0252">
              <w:lastRenderedPageBreak/>
              <w:t>The mean costs for productivity loss were Euro5246 higher in the SHARP group than for the care as usual group.</w:t>
            </w:r>
          </w:p>
        </w:tc>
        <w:tc>
          <w:tcPr>
            <w:tcW w:w="548" w:type="pct"/>
          </w:tcPr>
          <w:p w14:paraId="21B182E1" w14:textId="77777777" w:rsidR="00F84350" w:rsidRPr="002F0252" w:rsidRDefault="00F84350" w:rsidP="00F84350">
            <w:r w:rsidRPr="002F0252">
              <w:t>There was no cost saving to using the SHARP-at work intervention.</w:t>
            </w:r>
          </w:p>
        </w:tc>
        <w:tc>
          <w:tcPr>
            <w:tcW w:w="947" w:type="pct"/>
          </w:tcPr>
          <w:p w14:paraId="31F6B9BF" w14:textId="77777777" w:rsidR="00F84350" w:rsidRPr="002F0252" w:rsidRDefault="00F84350" w:rsidP="00F84350">
            <w:r w:rsidRPr="002F0252">
              <w:t>The SHARP-at work intervention has a superior effect on the incidence of and time to recurrent sickness absence but had no economic benefit compared to care as usual.</w:t>
            </w:r>
          </w:p>
        </w:tc>
        <w:tc>
          <w:tcPr>
            <w:tcW w:w="945" w:type="pct"/>
          </w:tcPr>
          <w:p w14:paraId="61409D37" w14:textId="77777777" w:rsidR="00F84350" w:rsidRPr="002F0252" w:rsidRDefault="00F84350" w:rsidP="00F84350">
            <w:r w:rsidRPr="002F0252">
              <w:t>Strong</w:t>
            </w:r>
          </w:p>
        </w:tc>
      </w:tr>
      <w:tr w:rsidR="004F6CE3" w:rsidRPr="002F0252" w14:paraId="5214B99A" w14:textId="77777777" w:rsidTr="001B4DEF">
        <w:tc>
          <w:tcPr>
            <w:tcW w:w="544" w:type="pct"/>
          </w:tcPr>
          <w:p w14:paraId="4914453B" w14:textId="77777777" w:rsidR="004F6CE3" w:rsidRPr="002F0252" w:rsidRDefault="004F6CE3" w:rsidP="004F6CE3">
            <w:r w:rsidRPr="002F0252">
              <w:t>Sickness absence interventions</w:t>
            </w:r>
          </w:p>
        </w:tc>
        <w:tc>
          <w:tcPr>
            <w:tcW w:w="446" w:type="pct"/>
          </w:tcPr>
          <w:p w14:paraId="29B0D4B5" w14:textId="77777777" w:rsidR="004F6CE3" w:rsidRPr="002F0252" w:rsidRDefault="004F6CE3" w:rsidP="004F6CE3">
            <w:r w:rsidRPr="002F0252">
              <w:t>Boseman</w:t>
            </w:r>
          </w:p>
        </w:tc>
        <w:tc>
          <w:tcPr>
            <w:tcW w:w="315" w:type="pct"/>
          </w:tcPr>
          <w:p w14:paraId="7FDCE949" w14:textId="77777777" w:rsidR="004F6CE3" w:rsidRPr="002F0252" w:rsidRDefault="004F6CE3" w:rsidP="004F6CE3">
            <w:r w:rsidRPr="002F0252">
              <w:t>2001</w:t>
            </w:r>
          </w:p>
        </w:tc>
        <w:tc>
          <w:tcPr>
            <w:tcW w:w="538" w:type="pct"/>
          </w:tcPr>
          <w:p w14:paraId="58EE84F0" w14:textId="77777777" w:rsidR="004F6CE3" w:rsidRPr="002F0252" w:rsidRDefault="004F6CE3" w:rsidP="004F6CE3">
            <w:r w:rsidRPr="002F0252">
              <w:t xml:space="preserve">A safe return to work </w:t>
            </w:r>
            <w:r w:rsidR="00E754ED" w:rsidRPr="002F0252">
              <w:t>programme</w:t>
            </w:r>
            <w:r w:rsidRPr="002F0252">
              <w:t xml:space="preserve"> can minimise personal costs to the employee </w:t>
            </w:r>
            <w:r w:rsidRPr="002F0252">
              <w:lastRenderedPageBreak/>
              <w:t>and corporate costs to the employer.</w:t>
            </w:r>
          </w:p>
        </w:tc>
        <w:tc>
          <w:tcPr>
            <w:tcW w:w="717" w:type="pct"/>
          </w:tcPr>
          <w:p w14:paraId="516EC8EC" w14:textId="77777777" w:rsidR="004F6CE3" w:rsidRPr="002F0252" w:rsidRDefault="004F6CE3" w:rsidP="004F6CE3">
            <w:r w:rsidRPr="002F0252">
              <w:lastRenderedPageBreak/>
              <w:t>Sickness absence costs can be minimised through an application of a nurse based model</w:t>
            </w:r>
            <w:r w:rsidR="007B5BBA" w:rsidRPr="002F0252">
              <w:t xml:space="preserve"> to deliver </w:t>
            </w:r>
            <w:r w:rsidR="007B5BBA" w:rsidRPr="002F0252">
              <w:lastRenderedPageBreak/>
              <w:t xml:space="preserve">short and long term disability </w:t>
            </w:r>
            <w:r w:rsidR="00E754ED" w:rsidRPr="002F0252">
              <w:t>programme</w:t>
            </w:r>
            <w:r w:rsidR="007B5BBA" w:rsidRPr="002F0252">
              <w:t>s.</w:t>
            </w:r>
          </w:p>
        </w:tc>
        <w:tc>
          <w:tcPr>
            <w:tcW w:w="548" w:type="pct"/>
          </w:tcPr>
          <w:p w14:paraId="221EE87E" w14:textId="77777777" w:rsidR="004F6CE3" w:rsidRPr="002F0252" w:rsidRDefault="00D175C3" w:rsidP="004F6CE3">
            <w:r w:rsidRPr="002F0252">
              <w:lastRenderedPageBreak/>
              <w:t xml:space="preserve">Following a successful pilot, the nurse based </w:t>
            </w:r>
            <w:r w:rsidR="00E754ED" w:rsidRPr="002F0252">
              <w:t>programme</w:t>
            </w:r>
            <w:r w:rsidRPr="002F0252">
              <w:t xml:space="preserve"> of disability management </w:t>
            </w:r>
            <w:r w:rsidRPr="002F0252">
              <w:lastRenderedPageBreak/>
              <w:t>was implemented throughout the corporation in the USA and resulted in a $30million dollar (dollar in 2001) savings during a 3 year period.</w:t>
            </w:r>
          </w:p>
        </w:tc>
        <w:tc>
          <w:tcPr>
            <w:tcW w:w="947" w:type="pct"/>
          </w:tcPr>
          <w:p w14:paraId="16C9ECB0" w14:textId="77777777" w:rsidR="004F6CE3" w:rsidRPr="002F0252" w:rsidRDefault="00D01A65" w:rsidP="00D01A65">
            <w:r w:rsidRPr="002F0252">
              <w:lastRenderedPageBreak/>
              <w:t xml:space="preserve">A nurse based model for disability management which focuses on optimal health care and productivity for all employees minimizes </w:t>
            </w:r>
            <w:r w:rsidRPr="002F0252">
              <w:lastRenderedPageBreak/>
              <w:t>personal and corporate costs.</w:t>
            </w:r>
          </w:p>
        </w:tc>
        <w:tc>
          <w:tcPr>
            <w:tcW w:w="945" w:type="pct"/>
          </w:tcPr>
          <w:p w14:paraId="5B89D748" w14:textId="77777777" w:rsidR="004F6CE3" w:rsidRPr="002F0252" w:rsidRDefault="00D01A65" w:rsidP="004F6CE3">
            <w:r w:rsidRPr="002F0252">
              <w:lastRenderedPageBreak/>
              <w:t>Moderate</w:t>
            </w:r>
          </w:p>
        </w:tc>
      </w:tr>
      <w:tr w:rsidR="00DC588D" w:rsidRPr="002F0252" w14:paraId="547BEE0F" w14:textId="77777777" w:rsidTr="001B4DEF">
        <w:tc>
          <w:tcPr>
            <w:tcW w:w="544" w:type="pct"/>
          </w:tcPr>
          <w:p w14:paraId="002117A0" w14:textId="77777777" w:rsidR="00DC588D" w:rsidRPr="002F0252" w:rsidRDefault="005C42FC" w:rsidP="004F6CE3">
            <w:r w:rsidRPr="002F0252">
              <w:t>Sickness absence interventions</w:t>
            </w:r>
          </w:p>
        </w:tc>
        <w:tc>
          <w:tcPr>
            <w:tcW w:w="446" w:type="pct"/>
          </w:tcPr>
          <w:p w14:paraId="1093FDF7" w14:textId="77777777" w:rsidR="00DC588D" w:rsidRPr="002F0252" w:rsidRDefault="005C42FC" w:rsidP="004F6CE3">
            <w:r w:rsidRPr="002F0252">
              <w:t xml:space="preserve">Taimela et al </w:t>
            </w:r>
          </w:p>
        </w:tc>
        <w:tc>
          <w:tcPr>
            <w:tcW w:w="315" w:type="pct"/>
          </w:tcPr>
          <w:p w14:paraId="18829FFC" w14:textId="77777777" w:rsidR="00DC588D" w:rsidRPr="002F0252" w:rsidRDefault="005C42FC" w:rsidP="004F6CE3">
            <w:r w:rsidRPr="002F0252">
              <w:t>2008</w:t>
            </w:r>
          </w:p>
        </w:tc>
        <w:tc>
          <w:tcPr>
            <w:tcW w:w="538" w:type="pct"/>
          </w:tcPr>
          <w:p w14:paraId="664051AE" w14:textId="77777777" w:rsidR="00DC588D" w:rsidRPr="002F0252" w:rsidRDefault="005C42FC" w:rsidP="004F6CE3">
            <w:r w:rsidRPr="002F0252">
              <w:t>An occupational health intervention for workers with high risk of sickness absence is a cost</w:t>
            </w:r>
            <w:r w:rsidR="00BE5D20" w:rsidRPr="002F0252">
              <w:t>-</w:t>
            </w:r>
            <w:r w:rsidRPr="002F0252">
              <w:t xml:space="preserve">effective use </w:t>
            </w:r>
            <w:r w:rsidRPr="002F0252">
              <w:lastRenderedPageBreak/>
              <w:t xml:space="preserve">of </w:t>
            </w:r>
            <w:r w:rsidR="00207803" w:rsidRPr="002F0252">
              <w:t>health care</w:t>
            </w:r>
            <w:r w:rsidRPr="002F0252">
              <w:t xml:space="preserve"> resources in Finland.</w:t>
            </w:r>
          </w:p>
        </w:tc>
        <w:tc>
          <w:tcPr>
            <w:tcW w:w="717" w:type="pct"/>
          </w:tcPr>
          <w:p w14:paraId="4C8A6904" w14:textId="77777777" w:rsidR="00DC588D" w:rsidRPr="002F0252" w:rsidRDefault="005C42FC" w:rsidP="004F6CE3">
            <w:r w:rsidRPr="002F0252">
              <w:lastRenderedPageBreak/>
              <w:t>After one year, the mean sickness absence was 30 days in the usual care group and 19 days in the intervention group.</w:t>
            </w:r>
          </w:p>
        </w:tc>
        <w:tc>
          <w:tcPr>
            <w:tcW w:w="548" w:type="pct"/>
          </w:tcPr>
          <w:p w14:paraId="74EBA494" w14:textId="39F5BA44" w:rsidR="00DC588D" w:rsidRPr="002F0252" w:rsidRDefault="005C42FC" w:rsidP="004F6CE3">
            <w:r w:rsidRPr="002F0252">
              <w:t>Euro</w:t>
            </w:r>
            <w:r w:rsidR="00327F83">
              <w:t xml:space="preserve"> </w:t>
            </w:r>
            <w:r w:rsidRPr="002F0252">
              <w:t>43 (in 2008 Euros) per sickness absence day avoided.</w:t>
            </w:r>
          </w:p>
        </w:tc>
        <w:tc>
          <w:tcPr>
            <w:tcW w:w="947" w:type="pct"/>
          </w:tcPr>
          <w:p w14:paraId="0F15B1B6" w14:textId="77777777" w:rsidR="00DC588D" w:rsidRPr="002F0252" w:rsidRDefault="005C42FC" w:rsidP="00D01A65">
            <w:r w:rsidRPr="002F0252">
              <w:t xml:space="preserve">Targeting selected employees at a high risk of sickness absence and work disability may be a better use of occupational health resources than targeting all employees. </w:t>
            </w:r>
          </w:p>
        </w:tc>
        <w:tc>
          <w:tcPr>
            <w:tcW w:w="945" w:type="pct"/>
          </w:tcPr>
          <w:p w14:paraId="4E4F54FB" w14:textId="77777777" w:rsidR="00DC588D" w:rsidRPr="002F0252" w:rsidRDefault="005D35FC" w:rsidP="004F6CE3">
            <w:r w:rsidRPr="002F0252">
              <w:t>Moderate</w:t>
            </w:r>
          </w:p>
        </w:tc>
      </w:tr>
    </w:tbl>
    <w:p w14:paraId="31689D3A" w14:textId="77777777" w:rsidR="00F84350" w:rsidRPr="002F0252" w:rsidRDefault="00F84350" w:rsidP="00F84350"/>
    <w:p w14:paraId="15648381" w14:textId="77777777" w:rsidR="007B2E79" w:rsidRPr="002F0252" w:rsidRDefault="007B2E79">
      <w:r w:rsidRPr="002F0252">
        <w:br w:type="page"/>
      </w:r>
    </w:p>
    <w:p w14:paraId="4C159FA3" w14:textId="14ACA862" w:rsidR="007B2E79" w:rsidRPr="002F0252" w:rsidRDefault="007B2E79" w:rsidP="007B2E79">
      <w:pPr>
        <w:rPr>
          <w:b/>
        </w:rPr>
      </w:pPr>
      <w:r w:rsidRPr="002F0252">
        <w:rPr>
          <w:b/>
        </w:rPr>
        <w:lastRenderedPageBreak/>
        <w:t xml:space="preserve">Table </w:t>
      </w:r>
      <w:r w:rsidR="00880431">
        <w:rPr>
          <w:b/>
        </w:rPr>
        <w:t>4.</w:t>
      </w:r>
      <w:r w:rsidRPr="002F0252">
        <w:rPr>
          <w:b/>
        </w:rPr>
        <w:t>5</w:t>
      </w:r>
      <w:r w:rsidRPr="002F0252">
        <w:rPr>
          <w:b/>
        </w:rPr>
        <w:tab/>
      </w:r>
      <w:r w:rsidRPr="002F0252">
        <w:rPr>
          <w:b/>
        </w:rPr>
        <w:tab/>
      </w:r>
      <w:r w:rsidR="005376E8" w:rsidRPr="002F0252">
        <w:rPr>
          <w:b/>
        </w:rPr>
        <w:t>Interventions to reduce burn</w:t>
      </w:r>
      <w:r w:rsidRPr="002F0252">
        <w:rPr>
          <w:b/>
        </w:rPr>
        <w:t>out and keep people working for longer</w:t>
      </w:r>
    </w:p>
    <w:p w14:paraId="749A1DC2" w14:textId="77777777" w:rsidR="00F84350" w:rsidRPr="002F0252" w:rsidRDefault="00F84350" w:rsidP="00556C47"/>
    <w:tbl>
      <w:tblPr>
        <w:tblStyle w:val="TableGrid"/>
        <w:tblW w:w="5000" w:type="pct"/>
        <w:tblLook w:val="04A0" w:firstRow="1" w:lastRow="0" w:firstColumn="1" w:lastColumn="0" w:noHBand="0" w:noVBand="1"/>
      </w:tblPr>
      <w:tblGrid>
        <w:gridCol w:w="1517"/>
        <w:gridCol w:w="1244"/>
        <w:gridCol w:w="879"/>
        <w:gridCol w:w="1501"/>
        <w:gridCol w:w="2000"/>
        <w:gridCol w:w="1529"/>
        <w:gridCol w:w="2642"/>
        <w:gridCol w:w="2636"/>
      </w:tblGrid>
      <w:tr w:rsidR="007B2E79" w:rsidRPr="002F0252" w14:paraId="451A4808" w14:textId="77777777" w:rsidTr="00202878">
        <w:trPr>
          <w:tblHeader/>
        </w:trPr>
        <w:tc>
          <w:tcPr>
            <w:tcW w:w="544" w:type="pct"/>
          </w:tcPr>
          <w:p w14:paraId="57748ABE" w14:textId="77777777" w:rsidR="007B2E79" w:rsidRPr="002F0252" w:rsidRDefault="007B2E79" w:rsidP="00A93139">
            <w:pPr>
              <w:rPr>
                <w:b/>
              </w:rPr>
            </w:pPr>
            <w:r w:rsidRPr="002F0252">
              <w:rPr>
                <w:b/>
              </w:rPr>
              <w:t>Category of Initiative</w:t>
            </w:r>
          </w:p>
        </w:tc>
        <w:tc>
          <w:tcPr>
            <w:tcW w:w="446" w:type="pct"/>
          </w:tcPr>
          <w:p w14:paraId="2CFB9130" w14:textId="77777777" w:rsidR="007B2E79" w:rsidRPr="002F0252" w:rsidRDefault="007B2E79" w:rsidP="00A93139">
            <w:pPr>
              <w:rPr>
                <w:b/>
              </w:rPr>
            </w:pPr>
            <w:r w:rsidRPr="002F0252">
              <w:rPr>
                <w:b/>
              </w:rPr>
              <w:t>Author</w:t>
            </w:r>
          </w:p>
        </w:tc>
        <w:tc>
          <w:tcPr>
            <w:tcW w:w="315" w:type="pct"/>
          </w:tcPr>
          <w:p w14:paraId="49FDA312" w14:textId="77777777" w:rsidR="007B2E79" w:rsidRPr="002F0252" w:rsidRDefault="007B2E79" w:rsidP="00A93139">
            <w:pPr>
              <w:rPr>
                <w:b/>
              </w:rPr>
            </w:pPr>
            <w:r w:rsidRPr="002F0252">
              <w:rPr>
                <w:b/>
              </w:rPr>
              <w:t xml:space="preserve">Date </w:t>
            </w:r>
          </w:p>
        </w:tc>
        <w:tc>
          <w:tcPr>
            <w:tcW w:w="538" w:type="pct"/>
          </w:tcPr>
          <w:p w14:paraId="2265D211" w14:textId="77777777" w:rsidR="007B2E79" w:rsidRPr="002F0252" w:rsidRDefault="007B2E79" w:rsidP="00A93139">
            <w:pPr>
              <w:rPr>
                <w:b/>
              </w:rPr>
            </w:pPr>
            <w:r w:rsidRPr="002F0252">
              <w:rPr>
                <w:b/>
              </w:rPr>
              <w:t>Main finding</w:t>
            </w:r>
          </w:p>
        </w:tc>
        <w:tc>
          <w:tcPr>
            <w:tcW w:w="717" w:type="pct"/>
          </w:tcPr>
          <w:p w14:paraId="37389890" w14:textId="77777777" w:rsidR="007B2E79" w:rsidRPr="002F0252" w:rsidRDefault="007B2E79" w:rsidP="00A93139">
            <w:pPr>
              <w:rPr>
                <w:b/>
              </w:rPr>
            </w:pPr>
            <w:r w:rsidRPr="002F0252">
              <w:rPr>
                <w:b/>
              </w:rPr>
              <w:t>Cost implication</w:t>
            </w:r>
          </w:p>
        </w:tc>
        <w:tc>
          <w:tcPr>
            <w:tcW w:w="548" w:type="pct"/>
          </w:tcPr>
          <w:p w14:paraId="1141A39B" w14:textId="77777777" w:rsidR="007B2E79" w:rsidRPr="002F0252" w:rsidRDefault="007B2E79" w:rsidP="00A93139">
            <w:pPr>
              <w:rPr>
                <w:b/>
              </w:rPr>
            </w:pPr>
            <w:r w:rsidRPr="002F0252">
              <w:rPr>
                <w:b/>
              </w:rPr>
              <w:t xml:space="preserve">Cost saving </w:t>
            </w:r>
          </w:p>
        </w:tc>
        <w:tc>
          <w:tcPr>
            <w:tcW w:w="947" w:type="pct"/>
          </w:tcPr>
          <w:p w14:paraId="1E2E3C3D" w14:textId="77777777" w:rsidR="007B2E79" w:rsidRPr="002F0252" w:rsidRDefault="007B2E79" w:rsidP="00A93139">
            <w:pPr>
              <w:rPr>
                <w:b/>
              </w:rPr>
            </w:pPr>
            <w:r w:rsidRPr="002F0252">
              <w:rPr>
                <w:b/>
              </w:rPr>
              <w:t>Recommendation</w:t>
            </w:r>
          </w:p>
          <w:p w14:paraId="6EC9BC36" w14:textId="77777777" w:rsidR="007B2E79" w:rsidRPr="002F0252" w:rsidRDefault="007B2E79" w:rsidP="00A93139">
            <w:pPr>
              <w:ind w:firstLine="720"/>
            </w:pPr>
          </w:p>
        </w:tc>
        <w:tc>
          <w:tcPr>
            <w:tcW w:w="945" w:type="pct"/>
          </w:tcPr>
          <w:p w14:paraId="4C464B78" w14:textId="77777777" w:rsidR="007B2E79" w:rsidRPr="002F0252" w:rsidRDefault="007B2E79" w:rsidP="00A93139">
            <w:pPr>
              <w:rPr>
                <w:b/>
              </w:rPr>
            </w:pPr>
            <w:r w:rsidRPr="002F0252">
              <w:rPr>
                <w:b/>
              </w:rPr>
              <w:t>Strength of evidence</w:t>
            </w:r>
          </w:p>
          <w:p w14:paraId="3FCA0B24" w14:textId="77777777" w:rsidR="007B2E79" w:rsidRPr="002F0252" w:rsidRDefault="007B2E79" w:rsidP="00A93139">
            <w:pPr>
              <w:rPr>
                <w:b/>
              </w:rPr>
            </w:pPr>
            <w:r w:rsidRPr="002F0252">
              <w:rPr>
                <w:b/>
              </w:rPr>
              <w:t>(weak, moderate, strong)</w:t>
            </w:r>
          </w:p>
        </w:tc>
      </w:tr>
      <w:tr w:rsidR="007B2E79" w:rsidRPr="002F0252" w14:paraId="63359B57" w14:textId="77777777" w:rsidTr="00202878">
        <w:tc>
          <w:tcPr>
            <w:tcW w:w="544" w:type="pct"/>
          </w:tcPr>
          <w:p w14:paraId="1C4A4096" w14:textId="77777777" w:rsidR="007B2E79" w:rsidRPr="002F0252" w:rsidRDefault="005376E8" w:rsidP="00A93139">
            <w:r w:rsidRPr="002F0252">
              <w:t>Burnout interventions</w:t>
            </w:r>
          </w:p>
        </w:tc>
        <w:tc>
          <w:tcPr>
            <w:tcW w:w="446" w:type="pct"/>
          </w:tcPr>
          <w:p w14:paraId="679C809F" w14:textId="77777777" w:rsidR="007B2E79" w:rsidRPr="002F0252" w:rsidRDefault="005376E8" w:rsidP="00A93139">
            <w:r w:rsidRPr="002F0252">
              <w:t>Bittman et al</w:t>
            </w:r>
          </w:p>
        </w:tc>
        <w:tc>
          <w:tcPr>
            <w:tcW w:w="315" w:type="pct"/>
          </w:tcPr>
          <w:p w14:paraId="79FF548F" w14:textId="77777777" w:rsidR="007B2E79" w:rsidRPr="002F0252" w:rsidRDefault="005376E8" w:rsidP="00A93139">
            <w:r w:rsidRPr="002F0252">
              <w:t>2014</w:t>
            </w:r>
          </w:p>
        </w:tc>
        <w:tc>
          <w:tcPr>
            <w:tcW w:w="538" w:type="pct"/>
          </w:tcPr>
          <w:p w14:paraId="535BFB5E" w14:textId="77777777" w:rsidR="007B2E79" w:rsidRPr="002F0252" w:rsidRDefault="005376E8" w:rsidP="00A93139">
            <w:r w:rsidRPr="002F0252">
              <w:t>A cost-effective, 6 session recreational music making protocol reduces burnout and mood dimension, as well as TMD, in t long term care workers.</w:t>
            </w:r>
          </w:p>
        </w:tc>
        <w:tc>
          <w:tcPr>
            <w:tcW w:w="717" w:type="pct"/>
          </w:tcPr>
          <w:p w14:paraId="0AC72416" w14:textId="77777777" w:rsidR="007B2E79" w:rsidRPr="002F0252" w:rsidRDefault="00F7253A" w:rsidP="00A93139">
            <w:r w:rsidRPr="002F0252">
              <w:t>Economic-impact analysis projected cost savings of $89,100 (US dollars in 2014) for a single typical 100 bed facility, with total annual potential savings to the long-term care industry of $1.46 billion.</w:t>
            </w:r>
          </w:p>
        </w:tc>
        <w:tc>
          <w:tcPr>
            <w:tcW w:w="548" w:type="pct"/>
          </w:tcPr>
          <w:p w14:paraId="14C018CA" w14:textId="77777777" w:rsidR="007B2E79" w:rsidRPr="002F0252" w:rsidRDefault="00F7253A" w:rsidP="00D55B8B">
            <w:r w:rsidRPr="002F0252">
              <w:t>Cost savings of $89,100 (US dollars in 2014) for a single 100 bed facility</w:t>
            </w:r>
            <w:r w:rsidR="00D55B8B" w:rsidRPr="002F0252">
              <w:t xml:space="preserve"> in the USA</w:t>
            </w:r>
          </w:p>
        </w:tc>
        <w:tc>
          <w:tcPr>
            <w:tcW w:w="947" w:type="pct"/>
          </w:tcPr>
          <w:p w14:paraId="2883CB16" w14:textId="77777777" w:rsidR="007B2E79" w:rsidRPr="002F0252" w:rsidRDefault="00F7253A" w:rsidP="00A93139">
            <w:r w:rsidRPr="002F0252">
              <w:t xml:space="preserve">Reducing or preventing burnout while improving mood states among long-term </w:t>
            </w:r>
            <w:r w:rsidR="00207803" w:rsidRPr="002F0252">
              <w:t>health care</w:t>
            </w:r>
            <w:r w:rsidRPr="002F0252">
              <w:t xml:space="preserve"> employees should be considered cost-effective.</w:t>
            </w:r>
          </w:p>
        </w:tc>
        <w:tc>
          <w:tcPr>
            <w:tcW w:w="945" w:type="pct"/>
          </w:tcPr>
          <w:p w14:paraId="6312CC54" w14:textId="77777777" w:rsidR="007B2E79" w:rsidRPr="002F0252" w:rsidRDefault="00D55B8B" w:rsidP="00A93139">
            <w:r w:rsidRPr="002F0252">
              <w:t>Moderate</w:t>
            </w:r>
          </w:p>
        </w:tc>
      </w:tr>
      <w:tr w:rsidR="00A24782" w:rsidRPr="002F0252" w14:paraId="64F9C663" w14:textId="77777777" w:rsidTr="00202878">
        <w:tc>
          <w:tcPr>
            <w:tcW w:w="544" w:type="pct"/>
          </w:tcPr>
          <w:p w14:paraId="1A9536DE" w14:textId="77777777" w:rsidR="00A24782" w:rsidRPr="002F0252" w:rsidRDefault="00A24782" w:rsidP="00A93139">
            <w:r w:rsidRPr="002F0252">
              <w:t>Burnout interventions</w:t>
            </w:r>
          </w:p>
        </w:tc>
        <w:tc>
          <w:tcPr>
            <w:tcW w:w="446" w:type="pct"/>
          </w:tcPr>
          <w:p w14:paraId="6966A974" w14:textId="77777777" w:rsidR="00A24782" w:rsidRPr="002F0252" w:rsidRDefault="00A24782" w:rsidP="00A93139">
            <w:r w:rsidRPr="002F0252">
              <w:t xml:space="preserve">Chhokar et al </w:t>
            </w:r>
          </w:p>
        </w:tc>
        <w:tc>
          <w:tcPr>
            <w:tcW w:w="315" w:type="pct"/>
          </w:tcPr>
          <w:p w14:paraId="227FB9EF" w14:textId="77777777" w:rsidR="00A24782" w:rsidRPr="002F0252" w:rsidRDefault="00A24782" w:rsidP="00A93139">
            <w:r w:rsidRPr="002F0252">
              <w:t>2005</w:t>
            </w:r>
          </w:p>
        </w:tc>
        <w:tc>
          <w:tcPr>
            <w:tcW w:w="538" w:type="pct"/>
          </w:tcPr>
          <w:p w14:paraId="190CC3CB" w14:textId="77777777" w:rsidR="00A24782" w:rsidRPr="002F0252" w:rsidRDefault="00A24782" w:rsidP="00A24782">
            <w:r w:rsidRPr="002F0252">
              <w:t xml:space="preserve">The </w:t>
            </w:r>
            <w:r w:rsidR="00701AEE" w:rsidRPr="002F0252">
              <w:t>rapid economic g</w:t>
            </w:r>
            <w:r w:rsidRPr="002F0252">
              <w:t xml:space="preserve">ains and sustained reduction in the frequency </w:t>
            </w:r>
            <w:r w:rsidRPr="002F0252">
              <w:lastRenderedPageBreak/>
              <w:t xml:space="preserve">and cost of patient handling injuries beyond the first year strongly advocate for ceiling lift </w:t>
            </w:r>
            <w:r w:rsidR="00E754ED" w:rsidRPr="002F0252">
              <w:t>programme</w:t>
            </w:r>
            <w:r w:rsidRPr="002F0252">
              <w:t>s as an intervention strategy.</w:t>
            </w:r>
          </w:p>
        </w:tc>
        <w:tc>
          <w:tcPr>
            <w:tcW w:w="717" w:type="pct"/>
          </w:tcPr>
          <w:p w14:paraId="19BFFE8B" w14:textId="77777777" w:rsidR="00A24782" w:rsidRPr="002F0252" w:rsidRDefault="00AB7301" w:rsidP="00A93139">
            <w:r w:rsidRPr="002F0252">
              <w:lastRenderedPageBreak/>
              <w:t>The cost of the intervention in 1997/1998 was $344,323 (Canadian dollars).</w:t>
            </w:r>
          </w:p>
        </w:tc>
        <w:tc>
          <w:tcPr>
            <w:tcW w:w="548" w:type="pct"/>
          </w:tcPr>
          <w:p w14:paraId="7594CC05" w14:textId="77777777" w:rsidR="00A24782" w:rsidRPr="002F0252" w:rsidRDefault="00701AEE" w:rsidP="00D55B8B">
            <w:r w:rsidRPr="002F0252">
              <w:t xml:space="preserve">A total of $1,257,605 </w:t>
            </w:r>
            <w:r w:rsidR="00AB7301" w:rsidRPr="002F0252">
              <w:t xml:space="preserve">(Canadian dollars) </w:t>
            </w:r>
            <w:r w:rsidRPr="002F0252">
              <w:t>was saved during the 3 years post-</w:t>
            </w:r>
            <w:r w:rsidRPr="002F0252">
              <w:lastRenderedPageBreak/>
              <w:t>intervention with payback of the initial investment occurring within 0.82 years.</w:t>
            </w:r>
          </w:p>
          <w:p w14:paraId="6863DE7D" w14:textId="77777777" w:rsidR="00701AEE" w:rsidRPr="002F0252" w:rsidRDefault="00701AEE" w:rsidP="00D55B8B"/>
        </w:tc>
        <w:tc>
          <w:tcPr>
            <w:tcW w:w="947" w:type="pct"/>
          </w:tcPr>
          <w:p w14:paraId="5A5B5938" w14:textId="77777777" w:rsidR="00A24782" w:rsidRPr="002F0252" w:rsidRDefault="00701AEE" w:rsidP="00A93139">
            <w:r w:rsidRPr="002F0252">
              <w:lastRenderedPageBreak/>
              <w:t xml:space="preserve">With the lifespan of a ceiling lift estimated to be 12 years, the relatively short payback period strongly advocates for the continued use of ceiling </w:t>
            </w:r>
            <w:r w:rsidRPr="002F0252">
              <w:lastRenderedPageBreak/>
              <w:t>lifts as an intervention intended to mitigate injuries related to patient handling</w:t>
            </w:r>
            <w:r w:rsidR="00AB7301" w:rsidRPr="002F0252">
              <w:t xml:space="preserve"> in British Columbia, Canada</w:t>
            </w:r>
            <w:r w:rsidRPr="002F0252">
              <w:t>.</w:t>
            </w:r>
          </w:p>
        </w:tc>
        <w:tc>
          <w:tcPr>
            <w:tcW w:w="945" w:type="pct"/>
          </w:tcPr>
          <w:p w14:paraId="7D7AA430" w14:textId="77777777" w:rsidR="00A24782" w:rsidRPr="002F0252" w:rsidRDefault="00701AEE" w:rsidP="00A93139">
            <w:r w:rsidRPr="002F0252">
              <w:lastRenderedPageBreak/>
              <w:t>Strong</w:t>
            </w:r>
          </w:p>
        </w:tc>
      </w:tr>
      <w:tr w:rsidR="00A24782" w:rsidRPr="002F0252" w14:paraId="4DD25B36" w14:textId="77777777" w:rsidTr="00202878">
        <w:tc>
          <w:tcPr>
            <w:tcW w:w="544" w:type="pct"/>
          </w:tcPr>
          <w:p w14:paraId="5D3CB508" w14:textId="77777777" w:rsidR="00A24782" w:rsidRPr="002F0252" w:rsidRDefault="005C55E3" w:rsidP="00A93139">
            <w:r w:rsidRPr="002F0252">
              <w:t>Vitality intervention</w:t>
            </w:r>
          </w:p>
        </w:tc>
        <w:tc>
          <w:tcPr>
            <w:tcW w:w="446" w:type="pct"/>
          </w:tcPr>
          <w:p w14:paraId="7CF9D16A" w14:textId="77777777" w:rsidR="00A24782" w:rsidRPr="002F0252" w:rsidRDefault="005C55E3" w:rsidP="00A93139">
            <w:r w:rsidRPr="002F0252">
              <w:t xml:space="preserve">Van Dongen et al </w:t>
            </w:r>
          </w:p>
        </w:tc>
        <w:tc>
          <w:tcPr>
            <w:tcW w:w="315" w:type="pct"/>
          </w:tcPr>
          <w:p w14:paraId="16E3C3B9" w14:textId="77777777" w:rsidR="00A24782" w:rsidRPr="002F0252" w:rsidRDefault="005C55E3" w:rsidP="00A93139">
            <w:r w:rsidRPr="002F0252">
              <w:t>2013</w:t>
            </w:r>
          </w:p>
        </w:tc>
        <w:tc>
          <w:tcPr>
            <w:tcW w:w="538" w:type="pct"/>
          </w:tcPr>
          <w:p w14:paraId="3AD85F8F" w14:textId="77777777" w:rsidR="00A24782" w:rsidRPr="002F0252" w:rsidRDefault="005C55E3" w:rsidP="00A93139">
            <w:r w:rsidRPr="002F0252">
              <w:t>The workplace vitality intervention a</w:t>
            </w:r>
            <w:r w:rsidR="00FD6CB0" w:rsidRPr="002F0252">
              <w:t>m</w:t>
            </w:r>
            <w:r w:rsidRPr="002F0252">
              <w:t xml:space="preserve">ong </w:t>
            </w:r>
            <w:r w:rsidR="00FD6CB0" w:rsidRPr="002F0252">
              <w:t xml:space="preserve">730 </w:t>
            </w:r>
            <w:r w:rsidRPr="002F0252">
              <w:t>older hospital workers was neither cost-effective nor cost-saving.</w:t>
            </w:r>
          </w:p>
        </w:tc>
        <w:tc>
          <w:tcPr>
            <w:tcW w:w="717" w:type="pct"/>
          </w:tcPr>
          <w:p w14:paraId="19D6B224" w14:textId="77777777" w:rsidR="00A24782" w:rsidRPr="002F0252" w:rsidRDefault="00FD6CB0" w:rsidP="00A93139">
            <w:r w:rsidRPr="002F0252">
              <w:t>Incremental cost-effectiveness ratios in terms of general vitality, work-related vitality and need for recovery were Euro280, Euro7506 and Euro258 per point improvement.</w:t>
            </w:r>
          </w:p>
        </w:tc>
        <w:tc>
          <w:tcPr>
            <w:tcW w:w="548" w:type="pct"/>
          </w:tcPr>
          <w:p w14:paraId="5C7CC39A" w14:textId="77777777" w:rsidR="00A24782" w:rsidRPr="002F0252" w:rsidRDefault="00FD6CB0" w:rsidP="00D55B8B">
            <w:r w:rsidRPr="002F0252">
              <w:t>Per Euro invested Euro2.21 was lost.</w:t>
            </w:r>
          </w:p>
        </w:tc>
        <w:tc>
          <w:tcPr>
            <w:tcW w:w="947" w:type="pct"/>
          </w:tcPr>
          <w:p w14:paraId="3968D173" w14:textId="77777777" w:rsidR="00A24782" w:rsidRPr="002F0252" w:rsidRDefault="00FD6CB0" w:rsidP="00A93139">
            <w:r w:rsidRPr="002F0252">
              <w:t>The vitality intervention was neither cost-effective nor cost-saving.</w:t>
            </w:r>
          </w:p>
        </w:tc>
        <w:tc>
          <w:tcPr>
            <w:tcW w:w="945" w:type="pct"/>
          </w:tcPr>
          <w:p w14:paraId="0537EED7" w14:textId="77777777" w:rsidR="00A24782" w:rsidRPr="002F0252" w:rsidRDefault="00FD6CB0" w:rsidP="00A93139">
            <w:r w:rsidRPr="002F0252">
              <w:t>Strong</w:t>
            </w:r>
          </w:p>
        </w:tc>
      </w:tr>
      <w:tr w:rsidR="00A24782" w:rsidRPr="002F0252" w14:paraId="3DF48E05" w14:textId="77777777" w:rsidTr="00202878">
        <w:tc>
          <w:tcPr>
            <w:tcW w:w="544" w:type="pct"/>
          </w:tcPr>
          <w:p w14:paraId="1A020DCC" w14:textId="77777777" w:rsidR="00A24782" w:rsidRPr="002F0252" w:rsidRDefault="0008101E" w:rsidP="00A93139">
            <w:r w:rsidRPr="002F0252">
              <w:lastRenderedPageBreak/>
              <w:t>Workplace wellness study</w:t>
            </w:r>
          </w:p>
        </w:tc>
        <w:tc>
          <w:tcPr>
            <w:tcW w:w="446" w:type="pct"/>
          </w:tcPr>
          <w:p w14:paraId="5BD80328" w14:textId="77777777" w:rsidR="00A24782" w:rsidRPr="002F0252" w:rsidRDefault="0008101E" w:rsidP="00A93139">
            <w:r w:rsidRPr="002F0252">
              <w:t xml:space="preserve">Palumbo et al </w:t>
            </w:r>
          </w:p>
        </w:tc>
        <w:tc>
          <w:tcPr>
            <w:tcW w:w="315" w:type="pct"/>
          </w:tcPr>
          <w:p w14:paraId="08FDEA47" w14:textId="77777777" w:rsidR="00A24782" w:rsidRPr="002F0252" w:rsidRDefault="0008101E" w:rsidP="00A93139">
            <w:r w:rsidRPr="002F0252">
              <w:t>2012</w:t>
            </w:r>
          </w:p>
        </w:tc>
        <w:tc>
          <w:tcPr>
            <w:tcW w:w="538" w:type="pct"/>
          </w:tcPr>
          <w:p w14:paraId="101169FB" w14:textId="77777777" w:rsidR="00A24782" w:rsidRPr="002F0252" w:rsidRDefault="0008101E" w:rsidP="00A93139">
            <w:r w:rsidRPr="002F0252">
              <w:t xml:space="preserve">Providing innovative approaches for older </w:t>
            </w:r>
            <w:r w:rsidR="0070184F" w:rsidRPr="002F0252">
              <w:t>nurses to improve health and red</w:t>
            </w:r>
            <w:r w:rsidRPr="002F0252">
              <w:t>uce stress is a best practice worth testing.</w:t>
            </w:r>
          </w:p>
        </w:tc>
        <w:tc>
          <w:tcPr>
            <w:tcW w:w="717" w:type="pct"/>
          </w:tcPr>
          <w:p w14:paraId="071B80E7" w14:textId="77777777" w:rsidR="00A24782" w:rsidRPr="002F0252" w:rsidRDefault="0008101E" w:rsidP="00A93139">
            <w:r w:rsidRPr="002F0252">
              <w:t>Those in the control group had more compensatory time off than those in the Tai Chi experimental group.</w:t>
            </w:r>
          </w:p>
        </w:tc>
        <w:tc>
          <w:tcPr>
            <w:tcW w:w="548" w:type="pct"/>
          </w:tcPr>
          <w:p w14:paraId="452CD2AB" w14:textId="77777777" w:rsidR="00A24782" w:rsidRPr="002F0252" w:rsidRDefault="0008101E" w:rsidP="00D55B8B">
            <w:r w:rsidRPr="002F0252">
              <w:t>Cost saving of $760.22 (US dollars in 2012)</w:t>
            </w:r>
          </w:p>
        </w:tc>
        <w:tc>
          <w:tcPr>
            <w:tcW w:w="947" w:type="pct"/>
          </w:tcPr>
          <w:p w14:paraId="639ABF2A" w14:textId="77777777" w:rsidR="00A24782" w:rsidRPr="002F0252" w:rsidRDefault="0008101E" w:rsidP="00A93139">
            <w:r w:rsidRPr="002F0252">
              <w:t>To reduce compromised emotional health and subsequent job dissatisfaction, absenteeism and burnout a Tai Chi type of exercise may be beneficial for older nurses.</w:t>
            </w:r>
          </w:p>
        </w:tc>
        <w:tc>
          <w:tcPr>
            <w:tcW w:w="945" w:type="pct"/>
          </w:tcPr>
          <w:p w14:paraId="42A48E51" w14:textId="77777777" w:rsidR="00A24782" w:rsidRPr="002F0252" w:rsidRDefault="0008101E" w:rsidP="00A93139">
            <w:r w:rsidRPr="002F0252">
              <w:t>Moderate</w:t>
            </w:r>
          </w:p>
        </w:tc>
      </w:tr>
    </w:tbl>
    <w:p w14:paraId="69F9326D" w14:textId="77777777" w:rsidR="007B2E79" w:rsidRPr="002F0252" w:rsidRDefault="007B2E79" w:rsidP="00556C47"/>
    <w:p w14:paraId="18106CEC" w14:textId="77777777" w:rsidR="0092637E" w:rsidRPr="002F0252" w:rsidRDefault="0092637E">
      <w:r w:rsidRPr="002F0252">
        <w:br w:type="page"/>
      </w:r>
    </w:p>
    <w:p w14:paraId="492F4DBC" w14:textId="77777777" w:rsidR="0092637E" w:rsidRPr="002F0252" w:rsidRDefault="0092637E" w:rsidP="00556C47"/>
    <w:p w14:paraId="36C60162" w14:textId="040664EE" w:rsidR="0092637E" w:rsidRPr="002F0252" w:rsidRDefault="0092637E" w:rsidP="0092637E">
      <w:pPr>
        <w:rPr>
          <w:b/>
        </w:rPr>
      </w:pPr>
      <w:r w:rsidRPr="002F0252">
        <w:rPr>
          <w:b/>
        </w:rPr>
        <w:t xml:space="preserve">Table </w:t>
      </w:r>
      <w:r w:rsidR="00880431">
        <w:rPr>
          <w:b/>
        </w:rPr>
        <w:t>4.</w:t>
      </w:r>
      <w:r w:rsidRPr="002F0252">
        <w:rPr>
          <w:b/>
        </w:rPr>
        <w:t>6</w:t>
      </w:r>
      <w:r w:rsidRPr="002F0252">
        <w:rPr>
          <w:b/>
        </w:rPr>
        <w:tab/>
      </w:r>
      <w:r w:rsidRPr="002F0252">
        <w:rPr>
          <w:b/>
        </w:rPr>
        <w:tab/>
        <w:t xml:space="preserve">Interventions to </w:t>
      </w:r>
      <w:r w:rsidR="00202878" w:rsidRPr="002F0252">
        <w:rPr>
          <w:b/>
        </w:rPr>
        <w:t>support workers who abuse substances (cigarettes, alcohol and drugs misuse)</w:t>
      </w:r>
    </w:p>
    <w:p w14:paraId="652FEF81" w14:textId="77777777" w:rsidR="0092637E" w:rsidRPr="002F0252" w:rsidRDefault="0092637E" w:rsidP="0092637E"/>
    <w:tbl>
      <w:tblPr>
        <w:tblStyle w:val="TableGrid"/>
        <w:tblW w:w="5000" w:type="pct"/>
        <w:tblLook w:val="04A0" w:firstRow="1" w:lastRow="0" w:firstColumn="1" w:lastColumn="0" w:noHBand="0" w:noVBand="1"/>
      </w:tblPr>
      <w:tblGrid>
        <w:gridCol w:w="1454"/>
        <w:gridCol w:w="1202"/>
        <w:gridCol w:w="789"/>
        <w:gridCol w:w="1961"/>
        <w:gridCol w:w="1933"/>
        <w:gridCol w:w="1462"/>
        <w:gridCol w:w="2575"/>
        <w:gridCol w:w="2572"/>
      </w:tblGrid>
      <w:tr w:rsidR="00C34EAF" w:rsidRPr="002F0252" w14:paraId="086C3FE0" w14:textId="77777777" w:rsidTr="00214885">
        <w:trPr>
          <w:tblHeader/>
        </w:trPr>
        <w:tc>
          <w:tcPr>
            <w:tcW w:w="521" w:type="pct"/>
          </w:tcPr>
          <w:p w14:paraId="7B041F12" w14:textId="77777777" w:rsidR="0092637E" w:rsidRPr="002F0252" w:rsidRDefault="0092637E" w:rsidP="006B318F">
            <w:pPr>
              <w:rPr>
                <w:b/>
              </w:rPr>
            </w:pPr>
            <w:r w:rsidRPr="002F0252">
              <w:rPr>
                <w:b/>
              </w:rPr>
              <w:t>Category of Initiative</w:t>
            </w:r>
          </w:p>
        </w:tc>
        <w:tc>
          <w:tcPr>
            <w:tcW w:w="431" w:type="pct"/>
          </w:tcPr>
          <w:p w14:paraId="6828F55D" w14:textId="77777777" w:rsidR="0092637E" w:rsidRPr="002F0252" w:rsidRDefault="0092637E" w:rsidP="006B318F">
            <w:pPr>
              <w:rPr>
                <w:b/>
              </w:rPr>
            </w:pPr>
            <w:r w:rsidRPr="002F0252">
              <w:rPr>
                <w:b/>
              </w:rPr>
              <w:t>Author</w:t>
            </w:r>
          </w:p>
        </w:tc>
        <w:tc>
          <w:tcPr>
            <w:tcW w:w="283" w:type="pct"/>
          </w:tcPr>
          <w:p w14:paraId="0659EC7F" w14:textId="77777777" w:rsidR="0092637E" w:rsidRPr="002F0252" w:rsidRDefault="0092637E" w:rsidP="006B318F">
            <w:pPr>
              <w:rPr>
                <w:b/>
              </w:rPr>
            </w:pPr>
            <w:r w:rsidRPr="002F0252">
              <w:rPr>
                <w:b/>
              </w:rPr>
              <w:t xml:space="preserve">Date </w:t>
            </w:r>
          </w:p>
        </w:tc>
        <w:tc>
          <w:tcPr>
            <w:tcW w:w="703" w:type="pct"/>
          </w:tcPr>
          <w:p w14:paraId="42D27357" w14:textId="77777777" w:rsidR="0092637E" w:rsidRPr="002F0252" w:rsidRDefault="0092637E" w:rsidP="006B318F">
            <w:pPr>
              <w:rPr>
                <w:b/>
              </w:rPr>
            </w:pPr>
            <w:r w:rsidRPr="002F0252">
              <w:rPr>
                <w:b/>
              </w:rPr>
              <w:t>Main finding</w:t>
            </w:r>
          </w:p>
        </w:tc>
        <w:tc>
          <w:tcPr>
            <w:tcW w:w="693" w:type="pct"/>
          </w:tcPr>
          <w:p w14:paraId="1E9FBB15" w14:textId="77777777" w:rsidR="0092637E" w:rsidRPr="002F0252" w:rsidRDefault="0092637E" w:rsidP="006B318F">
            <w:pPr>
              <w:rPr>
                <w:b/>
              </w:rPr>
            </w:pPr>
            <w:r w:rsidRPr="002F0252">
              <w:rPr>
                <w:b/>
              </w:rPr>
              <w:t>Cost implication</w:t>
            </w:r>
          </w:p>
        </w:tc>
        <w:tc>
          <w:tcPr>
            <w:tcW w:w="524" w:type="pct"/>
          </w:tcPr>
          <w:p w14:paraId="70D8CC5F" w14:textId="77777777" w:rsidR="0092637E" w:rsidRPr="002F0252" w:rsidRDefault="0092637E" w:rsidP="006B318F">
            <w:pPr>
              <w:rPr>
                <w:b/>
              </w:rPr>
            </w:pPr>
            <w:r w:rsidRPr="002F0252">
              <w:rPr>
                <w:b/>
              </w:rPr>
              <w:t xml:space="preserve">Cost saving </w:t>
            </w:r>
          </w:p>
        </w:tc>
        <w:tc>
          <w:tcPr>
            <w:tcW w:w="923" w:type="pct"/>
          </w:tcPr>
          <w:p w14:paraId="48255E1C" w14:textId="77777777" w:rsidR="0092637E" w:rsidRPr="002F0252" w:rsidRDefault="0092637E" w:rsidP="006B318F">
            <w:pPr>
              <w:rPr>
                <w:b/>
              </w:rPr>
            </w:pPr>
            <w:r w:rsidRPr="002F0252">
              <w:rPr>
                <w:b/>
              </w:rPr>
              <w:t>Recommendation</w:t>
            </w:r>
          </w:p>
          <w:p w14:paraId="5C982CEA" w14:textId="77777777" w:rsidR="0092637E" w:rsidRPr="002F0252" w:rsidRDefault="0092637E" w:rsidP="006B318F">
            <w:pPr>
              <w:ind w:firstLine="720"/>
            </w:pPr>
          </w:p>
        </w:tc>
        <w:tc>
          <w:tcPr>
            <w:tcW w:w="922" w:type="pct"/>
          </w:tcPr>
          <w:p w14:paraId="54FFF78E" w14:textId="77777777" w:rsidR="0092637E" w:rsidRPr="002F0252" w:rsidRDefault="0092637E" w:rsidP="006B318F">
            <w:pPr>
              <w:rPr>
                <w:b/>
              </w:rPr>
            </w:pPr>
            <w:r w:rsidRPr="002F0252">
              <w:rPr>
                <w:b/>
              </w:rPr>
              <w:t>Strength of evidence</w:t>
            </w:r>
          </w:p>
          <w:p w14:paraId="7AC8E7A9" w14:textId="77777777" w:rsidR="0092637E" w:rsidRPr="002F0252" w:rsidRDefault="0092637E" w:rsidP="006B318F">
            <w:pPr>
              <w:rPr>
                <w:b/>
              </w:rPr>
            </w:pPr>
            <w:r w:rsidRPr="002F0252">
              <w:rPr>
                <w:b/>
              </w:rPr>
              <w:t>(weak, moderate, strong)</w:t>
            </w:r>
          </w:p>
        </w:tc>
      </w:tr>
      <w:tr w:rsidR="00C34EAF" w:rsidRPr="002F0252" w14:paraId="295BA1AB" w14:textId="77777777" w:rsidTr="00214885">
        <w:trPr>
          <w:trHeight w:val="3888"/>
        </w:trPr>
        <w:tc>
          <w:tcPr>
            <w:tcW w:w="521" w:type="pct"/>
          </w:tcPr>
          <w:p w14:paraId="3BDB230E" w14:textId="77777777" w:rsidR="0092637E" w:rsidRPr="002F0252" w:rsidRDefault="00202878" w:rsidP="006B318F">
            <w:r w:rsidRPr="002F0252">
              <w:t>Smoking cessation</w:t>
            </w:r>
          </w:p>
        </w:tc>
        <w:tc>
          <w:tcPr>
            <w:tcW w:w="431" w:type="pct"/>
          </w:tcPr>
          <w:p w14:paraId="60DCB024" w14:textId="77777777" w:rsidR="0092637E" w:rsidRPr="002F0252" w:rsidRDefault="00202878" w:rsidP="006B318F">
            <w:r w:rsidRPr="002F0252">
              <w:t xml:space="preserve">Halpern et al </w:t>
            </w:r>
          </w:p>
        </w:tc>
        <w:tc>
          <w:tcPr>
            <w:tcW w:w="283" w:type="pct"/>
          </w:tcPr>
          <w:p w14:paraId="0D5E500A" w14:textId="77777777" w:rsidR="0092637E" w:rsidRPr="002F0252" w:rsidRDefault="00202878" w:rsidP="006B318F">
            <w:r w:rsidRPr="002F0252">
              <w:t>2007</w:t>
            </w:r>
          </w:p>
        </w:tc>
        <w:tc>
          <w:tcPr>
            <w:tcW w:w="703" w:type="pct"/>
          </w:tcPr>
          <w:p w14:paraId="763145E1" w14:textId="77777777" w:rsidR="0092637E" w:rsidRPr="002F0252" w:rsidRDefault="00202878" w:rsidP="006B318F">
            <w:r w:rsidRPr="002F0252">
              <w:t>Providing a workplace smoking cessation benefit results in substantial health and economic benefits with economic savings exceeding the cost of the benefit within 4 years.</w:t>
            </w:r>
          </w:p>
        </w:tc>
        <w:tc>
          <w:tcPr>
            <w:tcW w:w="693" w:type="pct"/>
          </w:tcPr>
          <w:p w14:paraId="5B52B60F" w14:textId="77777777" w:rsidR="0092637E" w:rsidRPr="002F0252" w:rsidRDefault="000A6288" w:rsidP="000A6288">
            <w:r w:rsidRPr="002F0252">
              <w:t xml:space="preserve">Total savings from benefit coverage (decreased </w:t>
            </w:r>
            <w:r w:rsidR="00207803" w:rsidRPr="002F0252">
              <w:t>health care</w:t>
            </w:r>
            <w:r w:rsidRPr="002F0252">
              <w:t xml:space="preserve"> and workplace costs) exceeded costs of the benefit within 4 years.</w:t>
            </w:r>
          </w:p>
        </w:tc>
        <w:tc>
          <w:tcPr>
            <w:tcW w:w="524" w:type="pct"/>
          </w:tcPr>
          <w:p w14:paraId="0F1F37E4" w14:textId="77777777" w:rsidR="0092637E" w:rsidRPr="002F0252" w:rsidRDefault="000A6288" w:rsidP="006B318F">
            <w:r w:rsidRPr="002F0252">
              <w:t>Total savings per smoker ranged from $350 (US dollars) to $582 (US dollars in 2007) at 10 years.</w:t>
            </w:r>
          </w:p>
        </w:tc>
        <w:tc>
          <w:tcPr>
            <w:tcW w:w="923" w:type="pct"/>
          </w:tcPr>
          <w:p w14:paraId="3BAFE285" w14:textId="77777777" w:rsidR="0092637E" w:rsidRPr="002F0252" w:rsidRDefault="000A6288" w:rsidP="006B318F">
            <w:r w:rsidRPr="002F0252">
              <w:t>Workplace smoking cessation benefits can result in decreased absenteeism, increased productivity and net cost savings within 4 years.</w:t>
            </w:r>
          </w:p>
        </w:tc>
        <w:tc>
          <w:tcPr>
            <w:tcW w:w="922" w:type="pct"/>
          </w:tcPr>
          <w:p w14:paraId="6591E719" w14:textId="77777777" w:rsidR="0092637E" w:rsidRPr="002F0252" w:rsidRDefault="0092637E" w:rsidP="006B318F">
            <w:r w:rsidRPr="002F0252">
              <w:t>Moderate</w:t>
            </w:r>
          </w:p>
        </w:tc>
      </w:tr>
      <w:tr w:rsidR="00C34EAF" w:rsidRPr="002F0252" w14:paraId="428DFA4C" w14:textId="77777777" w:rsidTr="00214885">
        <w:tc>
          <w:tcPr>
            <w:tcW w:w="521" w:type="pct"/>
          </w:tcPr>
          <w:p w14:paraId="3B55F311" w14:textId="77777777" w:rsidR="000A6288" w:rsidRPr="002F0252" w:rsidRDefault="008E3B8A" w:rsidP="006B318F">
            <w:r w:rsidRPr="002F0252">
              <w:t>Smoking cessation</w:t>
            </w:r>
          </w:p>
        </w:tc>
        <w:tc>
          <w:tcPr>
            <w:tcW w:w="431" w:type="pct"/>
          </w:tcPr>
          <w:p w14:paraId="6B5A93C3" w14:textId="77777777" w:rsidR="000A6288" w:rsidRPr="002F0252" w:rsidRDefault="008E3B8A" w:rsidP="006B318F">
            <w:r w:rsidRPr="002F0252">
              <w:t xml:space="preserve">Jackson et al </w:t>
            </w:r>
          </w:p>
        </w:tc>
        <w:tc>
          <w:tcPr>
            <w:tcW w:w="283" w:type="pct"/>
          </w:tcPr>
          <w:p w14:paraId="0CE38FB6" w14:textId="77777777" w:rsidR="000A6288" w:rsidRPr="002F0252" w:rsidRDefault="008E3B8A" w:rsidP="006B318F">
            <w:r w:rsidRPr="002F0252">
              <w:t>2007</w:t>
            </w:r>
          </w:p>
        </w:tc>
        <w:tc>
          <w:tcPr>
            <w:tcW w:w="703" w:type="pct"/>
          </w:tcPr>
          <w:p w14:paraId="110CF3F0" w14:textId="77777777" w:rsidR="000A6288" w:rsidRPr="002F0252" w:rsidRDefault="008E3B8A" w:rsidP="006B318F">
            <w:r w:rsidRPr="002F0252">
              <w:t xml:space="preserve">The economic benefit of varenicline pharmacotherapy agent for smoking cessation is improved over </w:t>
            </w:r>
            <w:r w:rsidRPr="002F0252">
              <w:lastRenderedPageBreak/>
              <w:t>bupropion, despite the increased initial cost of varencline.</w:t>
            </w:r>
          </w:p>
        </w:tc>
        <w:tc>
          <w:tcPr>
            <w:tcW w:w="693" w:type="pct"/>
          </w:tcPr>
          <w:p w14:paraId="38F70838" w14:textId="77777777" w:rsidR="000A6288" w:rsidRPr="002F0252" w:rsidRDefault="008E3B8A" w:rsidP="000A6288">
            <w:r w:rsidRPr="002F0252">
              <w:lastRenderedPageBreak/>
              <w:t xml:space="preserve">It was estimated that 12-month employer cost savings per non-smoking employee were $540.60 for varenicline, </w:t>
            </w:r>
            <w:r w:rsidRPr="002F0252">
              <w:lastRenderedPageBreak/>
              <w:t>$269.80 for bupropion generic.</w:t>
            </w:r>
          </w:p>
        </w:tc>
        <w:tc>
          <w:tcPr>
            <w:tcW w:w="524" w:type="pct"/>
          </w:tcPr>
          <w:p w14:paraId="78031180" w14:textId="77777777" w:rsidR="000A6288" w:rsidRPr="002F0252" w:rsidRDefault="008E3B8A" w:rsidP="006B318F">
            <w:r w:rsidRPr="002F0252">
              <w:lastRenderedPageBreak/>
              <w:t xml:space="preserve">It was estimated that 12-month employer cost savings per non-smoking </w:t>
            </w:r>
            <w:r w:rsidRPr="002F0252">
              <w:lastRenderedPageBreak/>
              <w:t>employee were $540.60 for varenicline.</w:t>
            </w:r>
          </w:p>
        </w:tc>
        <w:tc>
          <w:tcPr>
            <w:tcW w:w="923" w:type="pct"/>
          </w:tcPr>
          <w:p w14:paraId="28C34E71" w14:textId="77777777" w:rsidR="000A6288" w:rsidRPr="002F0252" w:rsidRDefault="008E3B8A" w:rsidP="008E3B8A">
            <w:r w:rsidRPr="002F0252">
              <w:lastRenderedPageBreak/>
              <w:t>There is economic benefit of using varenicline pharmacotherapy agent for smoking cessation instead of bupropion.</w:t>
            </w:r>
          </w:p>
        </w:tc>
        <w:tc>
          <w:tcPr>
            <w:tcW w:w="922" w:type="pct"/>
          </w:tcPr>
          <w:p w14:paraId="67A5111A" w14:textId="77777777" w:rsidR="000A6288" w:rsidRPr="002F0252" w:rsidRDefault="008E3B8A" w:rsidP="006B318F">
            <w:r w:rsidRPr="002F0252">
              <w:t>Moderate</w:t>
            </w:r>
          </w:p>
        </w:tc>
      </w:tr>
      <w:tr w:rsidR="00C34EAF" w:rsidRPr="002F0252" w14:paraId="039D5B4D" w14:textId="77777777" w:rsidTr="00214885">
        <w:tc>
          <w:tcPr>
            <w:tcW w:w="521" w:type="pct"/>
          </w:tcPr>
          <w:p w14:paraId="5BC80602" w14:textId="77777777" w:rsidR="00523680" w:rsidRPr="002F0252" w:rsidRDefault="00824836" w:rsidP="006B318F">
            <w:r w:rsidRPr="002F0252">
              <w:t>Substance abuse</w:t>
            </w:r>
          </w:p>
        </w:tc>
        <w:tc>
          <w:tcPr>
            <w:tcW w:w="431" w:type="pct"/>
          </w:tcPr>
          <w:p w14:paraId="239B50BF" w14:textId="77777777" w:rsidR="00523680" w:rsidRPr="002F0252" w:rsidRDefault="00824836" w:rsidP="006B318F">
            <w:r w:rsidRPr="002F0252">
              <w:t xml:space="preserve">Miller et al </w:t>
            </w:r>
          </w:p>
        </w:tc>
        <w:tc>
          <w:tcPr>
            <w:tcW w:w="283" w:type="pct"/>
          </w:tcPr>
          <w:p w14:paraId="187576F2" w14:textId="77777777" w:rsidR="00523680" w:rsidRPr="002F0252" w:rsidRDefault="00824836" w:rsidP="006B318F">
            <w:r w:rsidRPr="002F0252">
              <w:t>2007</w:t>
            </w:r>
          </w:p>
        </w:tc>
        <w:tc>
          <w:tcPr>
            <w:tcW w:w="703" w:type="pct"/>
          </w:tcPr>
          <w:p w14:paraId="6D60E74C" w14:textId="77777777" w:rsidR="00523680" w:rsidRPr="002F0252" w:rsidRDefault="00C34EAF" w:rsidP="006B318F">
            <w:r w:rsidRPr="002F0252">
              <w:t xml:space="preserve">Peer-based workplace substance abuse prevention </w:t>
            </w:r>
            <w:r w:rsidR="00E754ED" w:rsidRPr="002F0252">
              <w:t>programme</w:t>
            </w:r>
            <w:r w:rsidRPr="002F0252">
              <w:t>s couple with random testing can be cost-effective in the workplace.</w:t>
            </w:r>
          </w:p>
        </w:tc>
        <w:tc>
          <w:tcPr>
            <w:tcW w:w="693" w:type="pct"/>
          </w:tcPr>
          <w:p w14:paraId="39963018" w14:textId="77777777" w:rsidR="00523680" w:rsidRPr="002F0252" w:rsidRDefault="00E754ED" w:rsidP="00C34EAF">
            <w:r w:rsidRPr="002F0252">
              <w:t>Programme</w:t>
            </w:r>
            <w:r w:rsidR="00C34EAF" w:rsidRPr="002F0252">
              <w:t xml:space="preserve"> staff and meeting expenses constituted the largest proportion of the estimated $900,000 cost of the PeerCare </w:t>
            </w:r>
            <w:r w:rsidRPr="002F0252">
              <w:t>programme</w:t>
            </w:r>
            <w:r w:rsidR="00C34EAF" w:rsidRPr="002F0252">
              <w:t xml:space="preserve"> in 1999 (US Dollars).</w:t>
            </w:r>
          </w:p>
        </w:tc>
        <w:tc>
          <w:tcPr>
            <w:tcW w:w="524" w:type="pct"/>
          </w:tcPr>
          <w:p w14:paraId="51BFC855" w14:textId="77777777" w:rsidR="00C34EAF" w:rsidRPr="002F0252" w:rsidRDefault="00C34EAF" w:rsidP="006B318F">
            <w:r w:rsidRPr="002F0252">
              <w:t xml:space="preserve">The </w:t>
            </w:r>
            <w:r w:rsidR="00E754ED" w:rsidRPr="002F0252">
              <w:t>programme</w:t>
            </w:r>
            <w:r w:rsidRPr="002F0252">
              <w:t xml:space="preserve"> avoided an estimated $1850 in employer injury costs per employee in 1999 (US dollars).</w:t>
            </w:r>
          </w:p>
          <w:p w14:paraId="457546E3" w14:textId="77777777" w:rsidR="00523680" w:rsidRPr="002F0252" w:rsidRDefault="00C34EAF" w:rsidP="00C34EAF">
            <w:r w:rsidRPr="002F0252">
              <w:t>There was a benefit-cost ratio of 26:1.</w:t>
            </w:r>
          </w:p>
        </w:tc>
        <w:tc>
          <w:tcPr>
            <w:tcW w:w="923" w:type="pct"/>
          </w:tcPr>
          <w:p w14:paraId="3F2D3C6B" w14:textId="77777777" w:rsidR="00523680" w:rsidRPr="002F0252" w:rsidRDefault="00C34EAF" w:rsidP="008E3B8A">
            <w:r w:rsidRPr="002F0252">
              <w:t xml:space="preserve">Peer-based workplace substance abuse prevention </w:t>
            </w:r>
            <w:r w:rsidR="00E754ED" w:rsidRPr="002F0252">
              <w:t>programme</w:t>
            </w:r>
            <w:r w:rsidRPr="002F0252">
              <w:t>s couple with random testing can be cost-effective in the workplace</w:t>
            </w:r>
          </w:p>
        </w:tc>
        <w:tc>
          <w:tcPr>
            <w:tcW w:w="922" w:type="pct"/>
          </w:tcPr>
          <w:p w14:paraId="4573B96D" w14:textId="77777777" w:rsidR="00523680" w:rsidRPr="002F0252" w:rsidRDefault="000C3839" w:rsidP="006B318F">
            <w:r w:rsidRPr="002F0252">
              <w:t>Strong</w:t>
            </w:r>
          </w:p>
        </w:tc>
      </w:tr>
      <w:tr w:rsidR="00214885" w:rsidRPr="002F0252" w14:paraId="62BE5D11" w14:textId="77777777" w:rsidTr="00214885">
        <w:tc>
          <w:tcPr>
            <w:tcW w:w="521" w:type="pct"/>
          </w:tcPr>
          <w:p w14:paraId="46C43E23" w14:textId="77777777" w:rsidR="00214885" w:rsidRPr="002F0252" w:rsidRDefault="00214885" w:rsidP="00214885">
            <w:r w:rsidRPr="002F0252">
              <w:t>Alcohol abuse</w:t>
            </w:r>
          </w:p>
        </w:tc>
        <w:tc>
          <w:tcPr>
            <w:tcW w:w="431" w:type="pct"/>
          </w:tcPr>
          <w:p w14:paraId="7190A226" w14:textId="77777777" w:rsidR="00214885" w:rsidRPr="002F0252" w:rsidRDefault="00214885" w:rsidP="00214885">
            <w:r w:rsidRPr="002F0252">
              <w:t xml:space="preserve">Quanbeck et al </w:t>
            </w:r>
          </w:p>
        </w:tc>
        <w:tc>
          <w:tcPr>
            <w:tcW w:w="283" w:type="pct"/>
          </w:tcPr>
          <w:p w14:paraId="54A9790D" w14:textId="77777777" w:rsidR="00214885" w:rsidRPr="002F0252" w:rsidRDefault="00214885" w:rsidP="00214885">
            <w:r w:rsidRPr="002F0252">
              <w:t>2010</w:t>
            </w:r>
          </w:p>
        </w:tc>
        <w:tc>
          <w:tcPr>
            <w:tcW w:w="703" w:type="pct"/>
          </w:tcPr>
          <w:p w14:paraId="0495BB46" w14:textId="77777777" w:rsidR="00214885" w:rsidRPr="002F0252" w:rsidRDefault="00214885" w:rsidP="00214885">
            <w:r w:rsidRPr="002F0252">
              <w:t xml:space="preserve">The Screening, Brief Intervention, and Referral to Treatment </w:t>
            </w:r>
            <w:r w:rsidR="00E754ED" w:rsidRPr="002F0252">
              <w:lastRenderedPageBreak/>
              <w:t>Programme</w:t>
            </w:r>
            <w:r w:rsidRPr="002F0252">
              <w:t xml:space="preserve"> (SBIRT) is beneficial for the employers in Wisconsin as it leads to a reduction in problem drinking.</w:t>
            </w:r>
          </w:p>
        </w:tc>
        <w:tc>
          <w:tcPr>
            <w:tcW w:w="693" w:type="pct"/>
          </w:tcPr>
          <w:p w14:paraId="7F3E0DD8" w14:textId="77777777" w:rsidR="00214885" w:rsidRPr="002F0252" w:rsidRDefault="00214885" w:rsidP="00214885">
            <w:r w:rsidRPr="002F0252">
              <w:lastRenderedPageBreak/>
              <w:t>The net present value of SBIRT adoption was $771 per employee.</w:t>
            </w:r>
          </w:p>
        </w:tc>
        <w:tc>
          <w:tcPr>
            <w:tcW w:w="524" w:type="pct"/>
          </w:tcPr>
          <w:p w14:paraId="0AA61820" w14:textId="77777777" w:rsidR="00214885" w:rsidRPr="002F0252" w:rsidRDefault="00214885" w:rsidP="00214885">
            <w:r w:rsidRPr="002F0252">
              <w:t xml:space="preserve">The ratio benefit of costs was 4.4:1 ($997/$227 </w:t>
            </w:r>
            <w:r w:rsidRPr="002F0252">
              <w:lastRenderedPageBreak/>
              <w:t>(US dollars in 2010).</w:t>
            </w:r>
          </w:p>
        </w:tc>
        <w:tc>
          <w:tcPr>
            <w:tcW w:w="923" w:type="pct"/>
          </w:tcPr>
          <w:p w14:paraId="20F83275" w14:textId="77777777" w:rsidR="00214885" w:rsidRPr="002F0252" w:rsidRDefault="00214885" w:rsidP="00214885">
            <w:r w:rsidRPr="002F0252">
              <w:lastRenderedPageBreak/>
              <w:t xml:space="preserve">The Screening, Brief Intervention, and Referral to Treatment </w:t>
            </w:r>
            <w:r w:rsidR="00E754ED" w:rsidRPr="002F0252">
              <w:t>Programme</w:t>
            </w:r>
            <w:r w:rsidRPr="002F0252">
              <w:t xml:space="preserve"> (SBIRT) could be beneficial for </w:t>
            </w:r>
            <w:r w:rsidRPr="002F0252">
              <w:lastRenderedPageBreak/>
              <w:t>employers in companies where there workers with problem drinking profiles.</w:t>
            </w:r>
          </w:p>
        </w:tc>
        <w:tc>
          <w:tcPr>
            <w:tcW w:w="922" w:type="pct"/>
          </w:tcPr>
          <w:p w14:paraId="6CB47A22" w14:textId="77777777" w:rsidR="00214885" w:rsidRPr="002F0252" w:rsidRDefault="00D538D0" w:rsidP="00214885">
            <w:r w:rsidRPr="002F0252">
              <w:lastRenderedPageBreak/>
              <w:t>Strong</w:t>
            </w:r>
          </w:p>
        </w:tc>
      </w:tr>
    </w:tbl>
    <w:p w14:paraId="3C05329D" w14:textId="77777777" w:rsidR="009B357B" w:rsidRPr="002F0252" w:rsidRDefault="009B357B" w:rsidP="00556C47"/>
    <w:p w14:paraId="2E7377EB" w14:textId="77777777" w:rsidR="009B357B" w:rsidRPr="002F0252" w:rsidRDefault="009B357B">
      <w:r w:rsidRPr="002F0252">
        <w:br w:type="page"/>
      </w:r>
    </w:p>
    <w:p w14:paraId="1ECC45C5" w14:textId="77777777" w:rsidR="0092637E" w:rsidRPr="002F0252" w:rsidRDefault="0092637E" w:rsidP="00556C47"/>
    <w:p w14:paraId="1D9D506A" w14:textId="46E1270F" w:rsidR="009B357B" w:rsidRPr="002F0252" w:rsidRDefault="009B357B" w:rsidP="009B357B">
      <w:pPr>
        <w:rPr>
          <w:b/>
        </w:rPr>
      </w:pPr>
      <w:r w:rsidRPr="002F0252">
        <w:rPr>
          <w:b/>
        </w:rPr>
        <w:t xml:space="preserve">Table </w:t>
      </w:r>
      <w:r w:rsidR="00880431">
        <w:rPr>
          <w:b/>
        </w:rPr>
        <w:t>4.</w:t>
      </w:r>
      <w:r w:rsidRPr="002F0252">
        <w:rPr>
          <w:b/>
        </w:rPr>
        <w:t>7</w:t>
      </w:r>
      <w:r w:rsidRPr="002F0252">
        <w:rPr>
          <w:b/>
        </w:rPr>
        <w:tab/>
      </w:r>
      <w:r w:rsidRPr="002F0252">
        <w:rPr>
          <w:b/>
        </w:rPr>
        <w:tab/>
        <w:t xml:space="preserve">Interventions regarding common and severe mental illness and employment </w:t>
      </w:r>
    </w:p>
    <w:p w14:paraId="3722AEAD" w14:textId="77777777" w:rsidR="009B357B" w:rsidRPr="002F0252" w:rsidRDefault="009B357B" w:rsidP="00556C47"/>
    <w:tbl>
      <w:tblPr>
        <w:tblStyle w:val="TableGrid"/>
        <w:tblW w:w="5000" w:type="pct"/>
        <w:tblLook w:val="04A0" w:firstRow="1" w:lastRow="0" w:firstColumn="1" w:lastColumn="0" w:noHBand="0" w:noVBand="1"/>
      </w:tblPr>
      <w:tblGrid>
        <w:gridCol w:w="1417"/>
        <w:gridCol w:w="1193"/>
        <w:gridCol w:w="703"/>
        <w:gridCol w:w="1894"/>
        <w:gridCol w:w="1894"/>
        <w:gridCol w:w="1955"/>
        <w:gridCol w:w="2412"/>
        <w:gridCol w:w="2480"/>
      </w:tblGrid>
      <w:tr w:rsidR="009B357B" w:rsidRPr="002F0252" w14:paraId="3909AE69" w14:textId="77777777" w:rsidTr="0054069F">
        <w:trPr>
          <w:tblHeader/>
        </w:trPr>
        <w:tc>
          <w:tcPr>
            <w:tcW w:w="491" w:type="pct"/>
          </w:tcPr>
          <w:p w14:paraId="4893F737" w14:textId="77777777" w:rsidR="009B357B" w:rsidRPr="002F0252" w:rsidRDefault="009B357B" w:rsidP="001C7E1E">
            <w:pPr>
              <w:rPr>
                <w:b/>
              </w:rPr>
            </w:pPr>
            <w:r w:rsidRPr="002F0252">
              <w:rPr>
                <w:b/>
              </w:rPr>
              <w:t>Category of Initiative</w:t>
            </w:r>
          </w:p>
        </w:tc>
        <w:tc>
          <w:tcPr>
            <w:tcW w:w="428" w:type="pct"/>
          </w:tcPr>
          <w:p w14:paraId="6F7FE70C" w14:textId="77777777" w:rsidR="009B357B" w:rsidRPr="002F0252" w:rsidRDefault="009B357B" w:rsidP="001C7E1E">
            <w:pPr>
              <w:rPr>
                <w:b/>
              </w:rPr>
            </w:pPr>
            <w:r w:rsidRPr="002F0252">
              <w:rPr>
                <w:b/>
              </w:rPr>
              <w:t>Author</w:t>
            </w:r>
          </w:p>
        </w:tc>
        <w:tc>
          <w:tcPr>
            <w:tcW w:w="252" w:type="pct"/>
          </w:tcPr>
          <w:p w14:paraId="18CFB10C" w14:textId="77777777" w:rsidR="009B357B" w:rsidRPr="002F0252" w:rsidRDefault="009B357B" w:rsidP="001C7E1E">
            <w:pPr>
              <w:rPr>
                <w:b/>
              </w:rPr>
            </w:pPr>
            <w:r w:rsidRPr="002F0252">
              <w:rPr>
                <w:b/>
              </w:rPr>
              <w:t xml:space="preserve">Date </w:t>
            </w:r>
          </w:p>
        </w:tc>
        <w:tc>
          <w:tcPr>
            <w:tcW w:w="679" w:type="pct"/>
          </w:tcPr>
          <w:p w14:paraId="72C7CC3C" w14:textId="77777777" w:rsidR="009B357B" w:rsidRPr="002F0252" w:rsidRDefault="009B357B" w:rsidP="001C7E1E">
            <w:pPr>
              <w:rPr>
                <w:b/>
              </w:rPr>
            </w:pPr>
            <w:r w:rsidRPr="002F0252">
              <w:rPr>
                <w:b/>
              </w:rPr>
              <w:t>Main finding</w:t>
            </w:r>
          </w:p>
        </w:tc>
        <w:tc>
          <w:tcPr>
            <w:tcW w:w="679" w:type="pct"/>
          </w:tcPr>
          <w:p w14:paraId="75F30072" w14:textId="77777777" w:rsidR="009B357B" w:rsidRPr="002F0252" w:rsidRDefault="009B357B" w:rsidP="001C7E1E">
            <w:pPr>
              <w:rPr>
                <w:b/>
              </w:rPr>
            </w:pPr>
            <w:r w:rsidRPr="002F0252">
              <w:rPr>
                <w:b/>
              </w:rPr>
              <w:t>Cost implication</w:t>
            </w:r>
          </w:p>
        </w:tc>
        <w:tc>
          <w:tcPr>
            <w:tcW w:w="701" w:type="pct"/>
          </w:tcPr>
          <w:p w14:paraId="06650FED" w14:textId="77777777" w:rsidR="009B357B" w:rsidRPr="002F0252" w:rsidRDefault="009B357B" w:rsidP="001C7E1E">
            <w:pPr>
              <w:rPr>
                <w:b/>
              </w:rPr>
            </w:pPr>
            <w:r w:rsidRPr="002F0252">
              <w:rPr>
                <w:b/>
              </w:rPr>
              <w:t xml:space="preserve">Cost saving </w:t>
            </w:r>
          </w:p>
        </w:tc>
        <w:tc>
          <w:tcPr>
            <w:tcW w:w="877" w:type="pct"/>
          </w:tcPr>
          <w:p w14:paraId="6E20A9F9" w14:textId="77777777" w:rsidR="009B357B" w:rsidRPr="002F0252" w:rsidRDefault="009B357B" w:rsidP="001C7E1E">
            <w:pPr>
              <w:rPr>
                <w:b/>
              </w:rPr>
            </w:pPr>
            <w:r w:rsidRPr="002F0252">
              <w:rPr>
                <w:b/>
              </w:rPr>
              <w:t>Recommendation</w:t>
            </w:r>
          </w:p>
          <w:p w14:paraId="76259C1B" w14:textId="77777777" w:rsidR="009B357B" w:rsidRPr="002F0252" w:rsidRDefault="009B357B" w:rsidP="001C7E1E">
            <w:pPr>
              <w:ind w:firstLine="720"/>
            </w:pPr>
          </w:p>
        </w:tc>
        <w:tc>
          <w:tcPr>
            <w:tcW w:w="893" w:type="pct"/>
          </w:tcPr>
          <w:p w14:paraId="1BE2B252" w14:textId="77777777" w:rsidR="009B357B" w:rsidRPr="002F0252" w:rsidRDefault="009B357B" w:rsidP="001C7E1E">
            <w:pPr>
              <w:rPr>
                <w:b/>
              </w:rPr>
            </w:pPr>
            <w:r w:rsidRPr="002F0252">
              <w:rPr>
                <w:b/>
              </w:rPr>
              <w:t>Strength of evidence</w:t>
            </w:r>
          </w:p>
          <w:p w14:paraId="62DFA6AA" w14:textId="77777777" w:rsidR="009B357B" w:rsidRPr="002F0252" w:rsidRDefault="009B357B" w:rsidP="001C7E1E">
            <w:pPr>
              <w:rPr>
                <w:b/>
              </w:rPr>
            </w:pPr>
            <w:r w:rsidRPr="002F0252">
              <w:rPr>
                <w:b/>
              </w:rPr>
              <w:t>(weak, moderate, strong)</w:t>
            </w:r>
          </w:p>
        </w:tc>
      </w:tr>
      <w:tr w:rsidR="009B357B" w:rsidRPr="002F0252" w14:paraId="6236E1BD" w14:textId="77777777" w:rsidTr="0054069F">
        <w:trPr>
          <w:trHeight w:val="3888"/>
        </w:trPr>
        <w:tc>
          <w:tcPr>
            <w:tcW w:w="491" w:type="pct"/>
          </w:tcPr>
          <w:p w14:paraId="4374C624" w14:textId="77777777" w:rsidR="009B357B" w:rsidRPr="002F0252" w:rsidRDefault="0010734E" w:rsidP="001C7E1E">
            <w:r w:rsidRPr="002F0252">
              <w:t>Severe mental illness</w:t>
            </w:r>
          </w:p>
        </w:tc>
        <w:tc>
          <w:tcPr>
            <w:tcW w:w="428" w:type="pct"/>
          </w:tcPr>
          <w:p w14:paraId="71E21E4E" w14:textId="77777777" w:rsidR="009B357B" w:rsidRPr="002F0252" w:rsidRDefault="0010734E" w:rsidP="001C7E1E">
            <w:r w:rsidRPr="002F0252">
              <w:t xml:space="preserve">Booth et al </w:t>
            </w:r>
          </w:p>
        </w:tc>
        <w:tc>
          <w:tcPr>
            <w:tcW w:w="252" w:type="pct"/>
          </w:tcPr>
          <w:p w14:paraId="0AB17E44" w14:textId="77777777" w:rsidR="009B357B" w:rsidRPr="002F0252" w:rsidRDefault="0010734E" w:rsidP="001C7E1E">
            <w:r w:rsidRPr="002F0252">
              <w:t>2014</w:t>
            </w:r>
          </w:p>
        </w:tc>
        <w:tc>
          <w:tcPr>
            <w:tcW w:w="679" w:type="pct"/>
          </w:tcPr>
          <w:p w14:paraId="5645A7C8" w14:textId="77777777" w:rsidR="009B357B" w:rsidRPr="002F0252" w:rsidRDefault="0010734E" w:rsidP="001C7E1E">
            <w:r w:rsidRPr="002F0252">
              <w:t xml:space="preserve">Integration of employment support within mental health services is central to the success of employment </w:t>
            </w:r>
            <w:r w:rsidR="00E754ED" w:rsidRPr="002F0252">
              <w:t>programme</w:t>
            </w:r>
            <w:r w:rsidRPr="002F0252">
              <w:t>s in the UK context.</w:t>
            </w:r>
          </w:p>
        </w:tc>
        <w:tc>
          <w:tcPr>
            <w:tcW w:w="679" w:type="pct"/>
          </w:tcPr>
          <w:p w14:paraId="49427C85" w14:textId="77777777" w:rsidR="0010734E" w:rsidRPr="002F0252" w:rsidRDefault="0010734E" w:rsidP="001C7E1E">
            <w:r w:rsidRPr="002F0252">
              <w:t>Econometric analysis showed that local commissioners could save £1,400 per additional job outcome by commissioning evidence-based interventions.</w:t>
            </w:r>
          </w:p>
          <w:p w14:paraId="16AFE47E" w14:textId="77777777" w:rsidR="009B357B" w:rsidRPr="002F0252" w:rsidRDefault="009B357B" w:rsidP="001C7E1E"/>
        </w:tc>
        <w:tc>
          <w:tcPr>
            <w:tcW w:w="701" w:type="pct"/>
          </w:tcPr>
          <w:p w14:paraId="74DD7802" w14:textId="77777777" w:rsidR="009B357B" w:rsidRPr="002F0252" w:rsidRDefault="0010734E" w:rsidP="001C7E1E">
            <w:r w:rsidRPr="002F0252">
              <w:t>There is a positive return on investment to the Treasury for every £1 spent there is a return to the Treasury of £1.04.</w:t>
            </w:r>
          </w:p>
        </w:tc>
        <w:tc>
          <w:tcPr>
            <w:tcW w:w="877" w:type="pct"/>
          </w:tcPr>
          <w:p w14:paraId="6F51D471" w14:textId="77777777" w:rsidR="009B357B" w:rsidRPr="002F0252" w:rsidRDefault="0010734E" w:rsidP="001C7E1E">
            <w:r w:rsidRPr="002F0252">
              <w:t>As there is general agreement that unemployment is bad for your health more employment initiatives should ensure that more people with severe mental illness can secure and maintain suitable employment.</w:t>
            </w:r>
          </w:p>
        </w:tc>
        <w:tc>
          <w:tcPr>
            <w:tcW w:w="893" w:type="pct"/>
          </w:tcPr>
          <w:p w14:paraId="314FECA9" w14:textId="77777777" w:rsidR="009B357B" w:rsidRPr="002F0252" w:rsidRDefault="0003082F" w:rsidP="001C7E1E">
            <w:r w:rsidRPr="002F0252">
              <w:t>Weak</w:t>
            </w:r>
          </w:p>
        </w:tc>
      </w:tr>
      <w:tr w:rsidR="007848D2" w:rsidRPr="002F0252" w14:paraId="0536B797" w14:textId="77777777" w:rsidTr="0054069F">
        <w:trPr>
          <w:trHeight w:val="3888"/>
        </w:trPr>
        <w:tc>
          <w:tcPr>
            <w:tcW w:w="491" w:type="pct"/>
          </w:tcPr>
          <w:p w14:paraId="6E7F0166" w14:textId="77777777" w:rsidR="007848D2" w:rsidRPr="002F0252" w:rsidRDefault="007848D2" w:rsidP="007848D2">
            <w:r w:rsidRPr="002F0252">
              <w:lastRenderedPageBreak/>
              <w:t>Severe mental illness</w:t>
            </w:r>
          </w:p>
        </w:tc>
        <w:tc>
          <w:tcPr>
            <w:tcW w:w="428" w:type="pct"/>
          </w:tcPr>
          <w:p w14:paraId="19659BEB" w14:textId="77777777" w:rsidR="007848D2" w:rsidRPr="002F0252" w:rsidRDefault="007848D2" w:rsidP="007848D2">
            <w:r w:rsidRPr="002F0252">
              <w:t xml:space="preserve">Chow et al </w:t>
            </w:r>
          </w:p>
        </w:tc>
        <w:tc>
          <w:tcPr>
            <w:tcW w:w="252" w:type="pct"/>
          </w:tcPr>
          <w:p w14:paraId="6A1B5591" w14:textId="77777777" w:rsidR="007848D2" w:rsidRPr="002F0252" w:rsidRDefault="007848D2" w:rsidP="007848D2">
            <w:r w:rsidRPr="002F0252">
              <w:t>2015</w:t>
            </w:r>
          </w:p>
        </w:tc>
        <w:tc>
          <w:tcPr>
            <w:tcW w:w="679" w:type="pct"/>
          </w:tcPr>
          <w:p w14:paraId="35AE9BA7" w14:textId="77777777" w:rsidR="007848D2" w:rsidRPr="002F0252" w:rsidRDefault="00A523E7" w:rsidP="007848D2">
            <w:r w:rsidRPr="002F0252">
              <w:t>Job accommodations</w:t>
            </w:r>
            <w:r w:rsidR="00F12550" w:rsidRPr="002F0252">
              <w:t xml:space="preserve"> (such as performance expectations)</w:t>
            </w:r>
            <w:r w:rsidRPr="002F0252">
              <w:t xml:space="preserve"> among individuals with psychiatric disability is associated with a marginal monthly saving.</w:t>
            </w:r>
          </w:p>
        </w:tc>
        <w:tc>
          <w:tcPr>
            <w:tcW w:w="679" w:type="pct"/>
          </w:tcPr>
          <w:p w14:paraId="069638CD" w14:textId="77777777" w:rsidR="007848D2" w:rsidRPr="002F0252" w:rsidRDefault="0021776E" w:rsidP="007848D2">
            <w:r w:rsidRPr="002F0252">
              <w:t>Job accommodations must be provided by employers as long as the modifications do not produce “undue hardship”.</w:t>
            </w:r>
          </w:p>
        </w:tc>
        <w:tc>
          <w:tcPr>
            <w:tcW w:w="701" w:type="pct"/>
          </w:tcPr>
          <w:p w14:paraId="4C0DCFDD" w14:textId="77777777" w:rsidR="007848D2" w:rsidRPr="002F0252" w:rsidRDefault="00A523E7" w:rsidP="007848D2">
            <w:r w:rsidRPr="002F0252">
              <w:t>A monthly Supplementary Security Income saving of $11.73 (US dollars in 2015) could be made due to job accommodations.</w:t>
            </w:r>
          </w:p>
        </w:tc>
        <w:tc>
          <w:tcPr>
            <w:tcW w:w="877" w:type="pct"/>
          </w:tcPr>
          <w:p w14:paraId="48EC1E63" w14:textId="04FD8DF4" w:rsidR="007848D2" w:rsidRPr="002F0252" w:rsidRDefault="00A523E7" w:rsidP="0021776E">
            <w:r w:rsidRPr="002F0252">
              <w:t xml:space="preserve">Job accommodations for those with a psychiatric disability could save money to the </w:t>
            </w:r>
            <w:r w:rsidR="0021776E" w:rsidRPr="002F0252">
              <w:t>Social Security Ad</w:t>
            </w:r>
            <w:r w:rsidR="004014B8">
              <w:t>m</w:t>
            </w:r>
            <w:r w:rsidR="0021776E" w:rsidRPr="002F0252">
              <w:t>inistration in the USA.</w:t>
            </w:r>
          </w:p>
        </w:tc>
        <w:tc>
          <w:tcPr>
            <w:tcW w:w="893" w:type="pct"/>
          </w:tcPr>
          <w:p w14:paraId="25569249" w14:textId="77777777" w:rsidR="007848D2" w:rsidRPr="002F0252" w:rsidRDefault="00DD61C6" w:rsidP="007848D2">
            <w:r w:rsidRPr="002F0252">
              <w:t>Strong</w:t>
            </w:r>
          </w:p>
        </w:tc>
      </w:tr>
      <w:tr w:rsidR="00430EB5" w:rsidRPr="002F0252" w14:paraId="5F3BEF0A" w14:textId="77777777" w:rsidTr="0054069F">
        <w:trPr>
          <w:trHeight w:val="3888"/>
        </w:trPr>
        <w:tc>
          <w:tcPr>
            <w:tcW w:w="491" w:type="pct"/>
          </w:tcPr>
          <w:p w14:paraId="1F2DD0C2" w14:textId="77777777" w:rsidR="00430EB5" w:rsidRPr="002F0252" w:rsidRDefault="00430EB5" w:rsidP="007848D2">
            <w:r w:rsidRPr="002F0252">
              <w:lastRenderedPageBreak/>
              <w:t>Severe mental illness</w:t>
            </w:r>
          </w:p>
        </w:tc>
        <w:tc>
          <w:tcPr>
            <w:tcW w:w="428" w:type="pct"/>
          </w:tcPr>
          <w:p w14:paraId="3BAE5F18" w14:textId="77777777" w:rsidR="00430EB5" w:rsidRPr="002F0252" w:rsidRDefault="00430EB5" w:rsidP="007848D2">
            <w:r w:rsidRPr="002F0252">
              <w:t xml:space="preserve">Dewa et al </w:t>
            </w:r>
          </w:p>
        </w:tc>
        <w:tc>
          <w:tcPr>
            <w:tcW w:w="252" w:type="pct"/>
          </w:tcPr>
          <w:p w14:paraId="2B82F389" w14:textId="77777777" w:rsidR="00430EB5" w:rsidRPr="002F0252" w:rsidRDefault="00430EB5" w:rsidP="007848D2">
            <w:r w:rsidRPr="002F0252">
              <w:t>2009</w:t>
            </w:r>
          </w:p>
        </w:tc>
        <w:tc>
          <w:tcPr>
            <w:tcW w:w="679" w:type="pct"/>
          </w:tcPr>
          <w:p w14:paraId="59C5A41D" w14:textId="77777777" w:rsidR="00430EB5" w:rsidRPr="002F0252" w:rsidRDefault="00430EB5" w:rsidP="007848D2">
            <w:r w:rsidRPr="002F0252">
              <w:t xml:space="preserve">Collaborative Mental Health Care </w:t>
            </w:r>
            <w:r w:rsidR="00E754ED" w:rsidRPr="002F0252">
              <w:t>Programme</w:t>
            </w:r>
            <w:r w:rsidRPr="002F0252">
              <w:t>s of disability management based on the Canadian data bay b e a worthwhile investment in helping people who are receiving short-term disability benefits for psychiatric disorders.</w:t>
            </w:r>
          </w:p>
        </w:tc>
        <w:tc>
          <w:tcPr>
            <w:tcW w:w="679" w:type="pct"/>
          </w:tcPr>
          <w:p w14:paraId="0E35C21B" w14:textId="77777777" w:rsidR="00430EB5" w:rsidRPr="002F0252" w:rsidRDefault="00430EB5" w:rsidP="007848D2">
            <w:r w:rsidRPr="002F0252">
              <w:t>The Independent Medical Examination held a cost for the employers.</w:t>
            </w:r>
          </w:p>
        </w:tc>
        <w:tc>
          <w:tcPr>
            <w:tcW w:w="701" w:type="pct"/>
          </w:tcPr>
          <w:p w14:paraId="3F6449EB" w14:textId="77777777" w:rsidR="00430EB5" w:rsidRPr="002F0252" w:rsidRDefault="00430EB5" w:rsidP="007848D2">
            <w:r w:rsidRPr="002F0252">
              <w:t xml:space="preserve">The results suggest that with Collaborative Mental Health Care </w:t>
            </w:r>
            <w:r w:rsidR="00E754ED" w:rsidRPr="002F0252">
              <w:t>Programme</w:t>
            </w:r>
            <w:r w:rsidR="001B4E38" w:rsidRPr="002F0252">
              <w:t>s</w:t>
            </w:r>
            <w:r w:rsidRPr="002F0252">
              <w:t>,, for every 100 people on short-term disability leave for psychiatric disorders, there could be $50,000 (Canadian dollars in 2009) in savings related to disability benefits along with the more people returning to work, less people transitioning to long-term disability leave, and 11600 more workdays.</w:t>
            </w:r>
          </w:p>
        </w:tc>
        <w:tc>
          <w:tcPr>
            <w:tcW w:w="877" w:type="pct"/>
          </w:tcPr>
          <w:p w14:paraId="05749A7C" w14:textId="77777777" w:rsidR="00430EB5" w:rsidRPr="002F0252" w:rsidRDefault="001B4E38" w:rsidP="0021776E">
            <w:r w:rsidRPr="002F0252">
              <w:t xml:space="preserve">Collaborative Mental Health Care </w:t>
            </w:r>
            <w:r w:rsidR="00E754ED" w:rsidRPr="002F0252">
              <w:t>Programme</w:t>
            </w:r>
            <w:r w:rsidRPr="002F0252">
              <w:t>s within the workplace could have an important impact on mental health-related disability leave.</w:t>
            </w:r>
          </w:p>
        </w:tc>
        <w:tc>
          <w:tcPr>
            <w:tcW w:w="893" w:type="pct"/>
          </w:tcPr>
          <w:p w14:paraId="65573FEA" w14:textId="77777777" w:rsidR="00430EB5" w:rsidRPr="002F0252" w:rsidRDefault="001B4E38" w:rsidP="007848D2">
            <w:r w:rsidRPr="002F0252">
              <w:t>Moderate</w:t>
            </w:r>
          </w:p>
        </w:tc>
      </w:tr>
      <w:tr w:rsidR="00FC4AAF" w:rsidRPr="002F0252" w14:paraId="573A34FA" w14:textId="77777777" w:rsidTr="0054069F">
        <w:trPr>
          <w:trHeight w:val="3888"/>
        </w:trPr>
        <w:tc>
          <w:tcPr>
            <w:tcW w:w="491" w:type="pct"/>
          </w:tcPr>
          <w:p w14:paraId="194E3637" w14:textId="77777777" w:rsidR="00FC4AAF" w:rsidRPr="002F0252" w:rsidRDefault="00FC4AAF" w:rsidP="007848D2">
            <w:r w:rsidRPr="002F0252">
              <w:lastRenderedPageBreak/>
              <w:t>Severe mental illness</w:t>
            </w:r>
          </w:p>
        </w:tc>
        <w:tc>
          <w:tcPr>
            <w:tcW w:w="428" w:type="pct"/>
          </w:tcPr>
          <w:p w14:paraId="68829ED0" w14:textId="77777777" w:rsidR="00FC4AAF" w:rsidRPr="002F0252" w:rsidRDefault="00FC4AAF" w:rsidP="007848D2">
            <w:r w:rsidRPr="002F0252">
              <w:t>Kessler et al</w:t>
            </w:r>
          </w:p>
        </w:tc>
        <w:tc>
          <w:tcPr>
            <w:tcW w:w="252" w:type="pct"/>
          </w:tcPr>
          <w:p w14:paraId="761392A9" w14:textId="77777777" w:rsidR="00FC4AAF" w:rsidRPr="002F0252" w:rsidRDefault="00FC4AAF" w:rsidP="007848D2">
            <w:r w:rsidRPr="002F0252">
              <w:t>1999</w:t>
            </w:r>
          </w:p>
        </w:tc>
        <w:tc>
          <w:tcPr>
            <w:tcW w:w="679" w:type="pct"/>
          </w:tcPr>
          <w:p w14:paraId="67EE5C52" w14:textId="77777777" w:rsidR="00FC4AAF" w:rsidRPr="002F0252" w:rsidRDefault="00FC4AAF" w:rsidP="007848D2">
            <w:r w:rsidRPr="002F0252">
              <w:t>Workplace costs of depression treatment are nearly as much as productivity loss.</w:t>
            </w:r>
          </w:p>
        </w:tc>
        <w:tc>
          <w:tcPr>
            <w:tcW w:w="679" w:type="pct"/>
          </w:tcPr>
          <w:p w14:paraId="3E58AA9A" w14:textId="77777777" w:rsidR="00FC4AAF" w:rsidRPr="002F0252" w:rsidRDefault="00FC4AAF" w:rsidP="007848D2">
            <w:r w:rsidRPr="002F0252">
              <w:t>The cost of depression treatment in the workplace was estimated as $402 (US dollars in 1999) per thirty depression free days.</w:t>
            </w:r>
          </w:p>
        </w:tc>
        <w:tc>
          <w:tcPr>
            <w:tcW w:w="701" w:type="pct"/>
          </w:tcPr>
          <w:p w14:paraId="6A95B69A" w14:textId="77777777" w:rsidR="00FC4AAF" w:rsidRPr="002F0252" w:rsidRDefault="00FC4AAF" w:rsidP="007848D2">
            <w:r w:rsidRPr="002F0252">
              <w:t>Salary equivalent of between $182 and $395 in productivity loss. (US dollars in 1999).</w:t>
            </w:r>
          </w:p>
        </w:tc>
        <w:tc>
          <w:tcPr>
            <w:tcW w:w="877" w:type="pct"/>
          </w:tcPr>
          <w:p w14:paraId="0C8B17ED" w14:textId="77777777" w:rsidR="00FC4AAF" w:rsidRPr="002F0252" w:rsidRDefault="00FC4AAF" w:rsidP="0021776E">
            <w:r w:rsidRPr="002F0252">
              <w:t>Encouraging depressed workers to obtain treatment for major depression might be cost-effective for some employers.</w:t>
            </w:r>
          </w:p>
        </w:tc>
        <w:tc>
          <w:tcPr>
            <w:tcW w:w="893" w:type="pct"/>
          </w:tcPr>
          <w:p w14:paraId="4F219ABD" w14:textId="77777777" w:rsidR="00FC4AAF" w:rsidRPr="002F0252" w:rsidRDefault="00FC4AAF" w:rsidP="007848D2">
            <w:r w:rsidRPr="002F0252">
              <w:t>Strong</w:t>
            </w:r>
          </w:p>
        </w:tc>
      </w:tr>
      <w:tr w:rsidR="00944860" w:rsidRPr="002F0252" w14:paraId="6792008D" w14:textId="77777777" w:rsidTr="0054069F">
        <w:trPr>
          <w:trHeight w:val="3888"/>
        </w:trPr>
        <w:tc>
          <w:tcPr>
            <w:tcW w:w="491" w:type="pct"/>
          </w:tcPr>
          <w:p w14:paraId="04C0840B" w14:textId="6B5B09E0" w:rsidR="00944860" w:rsidRPr="002F0252" w:rsidRDefault="00675CEC" w:rsidP="007848D2">
            <w:r>
              <w:lastRenderedPageBreak/>
              <w:t>Workplace screening for depression and anxiety</w:t>
            </w:r>
          </w:p>
        </w:tc>
        <w:tc>
          <w:tcPr>
            <w:tcW w:w="428" w:type="pct"/>
          </w:tcPr>
          <w:p w14:paraId="68965B42" w14:textId="1145275B" w:rsidR="00944860" w:rsidRPr="002F0252" w:rsidRDefault="00675CEC" w:rsidP="007848D2">
            <w:r>
              <w:t>McDaid et al (in Knapp et al, 2011)</w:t>
            </w:r>
          </w:p>
        </w:tc>
        <w:tc>
          <w:tcPr>
            <w:tcW w:w="252" w:type="pct"/>
          </w:tcPr>
          <w:p w14:paraId="6B37D4D5" w14:textId="26E28886" w:rsidR="00944860" w:rsidRPr="002F0252" w:rsidRDefault="00944860" w:rsidP="007848D2">
            <w:r>
              <w:t>2011</w:t>
            </w:r>
          </w:p>
        </w:tc>
        <w:tc>
          <w:tcPr>
            <w:tcW w:w="679" w:type="pct"/>
          </w:tcPr>
          <w:p w14:paraId="57ECD1C2" w14:textId="39723375" w:rsidR="00944860" w:rsidRPr="002F0252" w:rsidRDefault="000867AE" w:rsidP="000867AE">
            <w:r w:rsidRPr="000867AE">
              <w:t>The results show that from a business perspective the intervention appears cost-saving, despite the cost of screening all employees Benefits are gained through both a reduction in the level of absenteeism</w:t>
            </w:r>
            <w:r>
              <w:t xml:space="preserve"> </w:t>
            </w:r>
            <w:r w:rsidRPr="000867AE">
              <w:t xml:space="preserve">and improved levels of workplace productivity through a reduction in presenteeism. However, the impact may differ across industries; the </w:t>
            </w:r>
            <w:r w:rsidRPr="000867AE">
              <w:lastRenderedPageBreak/>
              <w:t>case may be less strong where staff turnover is high and skill requirements low. From a health and personal social services perspective the model is cost-saving, assuming the costs of the programme are indeed borne by the enterprise.</w:t>
            </w:r>
          </w:p>
        </w:tc>
        <w:tc>
          <w:tcPr>
            <w:tcW w:w="679" w:type="pct"/>
          </w:tcPr>
          <w:p w14:paraId="3337EC59" w14:textId="7E97E64F" w:rsidR="00944860" w:rsidRPr="002F0252" w:rsidRDefault="000867AE" w:rsidP="007848D2">
            <w:r w:rsidRPr="000867AE">
              <w:lastRenderedPageBreak/>
              <w:t>The intervention is cost-saving from the perspectives of both business and the health system, on the assumption that all costs are borne by business.</w:t>
            </w:r>
          </w:p>
        </w:tc>
        <w:tc>
          <w:tcPr>
            <w:tcW w:w="701" w:type="pct"/>
          </w:tcPr>
          <w:p w14:paraId="2663FAD5" w14:textId="63607C9B" w:rsidR="00944860" w:rsidRDefault="000867AE" w:rsidP="000867AE">
            <w:r>
              <w:t xml:space="preserve">Year 1 cost saving in 2009 prices was Year </w:t>
            </w:r>
            <w:r w:rsidRPr="000867AE">
              <w:t>-19,700</w:t>
            </w:r>
            <w:r>
              <w:t>.</w:t>
            </w:r>
          </w:p>
          <w:p w14:paraId="765DC630" w14:textId="77777777" w:rsidR="000867AE" w:rsidRDefault="000867AE" w:rsidP="000867AE"/>
          <w:p w14:paraId="0372E941" w14:textId="7F5E4385" w:rsidR="000867AE" w:rsidRPr="002F0252" w:rsidRDefault="000867AE" w:rsidP="000867AE">
            <w:r>
              <w:t xml:space="preserve">Cost saving in Year 2 was </w:t>
            </w:r>
            <w:r w:rsidRPr="000867AE">
              <w:t>-63,578</w:t>
            </w:r>
            <w:r>
              <w:t xml:space="preserve"> in 2009 prices.</w:t>
            </w:r>
          </w:p>
        </w:tc>
        <w:tc>
          <w:tcPr>
            <w:tcW w:w="877" w:type="pct"/>
          </w:tcPr>
          <w:p w14:paraId="327E188C" w14:textId="77777777" w:rsidR="00944860" w:rsidRDefault="000867AE" w:rsidP="0021776E">
            <w:r w:rsidRPr="000867AE">
              <w:t>Public sector employers also have the potential to benefit from investing in universal workplace depression and anxiety screening interventions.</w:t>
            </w:r>
          </w:p>
          <w:p w14:paraId="39221746" w14:textId="77777777" w:rsidR="00616D83" w:rsidRDefault="00616D83" w:rsidP="0021776E"/>
          <w:p w14:paraId="6A6B0AB3" w14:textId="41AA98A5" w:rsidR="00616D83" w:rsidRPr="002F0252" w:rsidRDefault="00616D83" w:rsidP="00616D83">
            <w:r>
              <w:t>The intervention was a w</w:t>
            </w:r>
            <w:r w:rsidRPr="00616D83">
              <w:t>orkplace screening for depression and anxiety disorders</w:t>
            </w:r>
            <w:r>
              <w:t>.</w:t>
            </w:r>
          </w:p>
        </w:tc>
        <w:tc>
          <w:tcPr>
            <w:tcW w:w="893" w:type="pct"/>
          </w:tcPr>
          <w:p w14:paraId="278655B0" w14:textId="6F6EFC9D" w:rsidR="00944860" w:rsidRPr="002F0252" w:rsidRDefault="00A65BB0" w:rsidP="007848D2">
            <w:r>
              <w:t>Strong</w:t>
            </w:r>
          </w:p>
        </w:tc>
      </w:tr>
      <w:tr w:rsidR="00675CEC" w:rsidRPr="002F0252" w14:paraId="14DCA4CA" w14:textId="77777777" w:rsidTr="0054069F">
        <w:trPr>
          <w:trHeight w:val="3888"/>
        </w:trPr>
        <w:tc>
          <w:tcPr>
            <w:tcW w:w="491" w:type="pct"/>
          </w:tcPr>
          <w:p w14:paraId="35D55737" w14:textId="1EFF6770" w:rsidR="00675CEC" w:rsidRDefault="00ED17EF" w:rsidP="00675CEC">
            <w:r>
              <w:lastRenderedPageBreak/>
              <w:t>Mental health promotion</w:t>
            </w:r>
          </w:p>
        </w:tc>
        <w:tc>
          <w:tcPr>
            <w:tcW w:w="428" w:type="pct"/>
          </w:tcPr>
          <w:p w14:paraId="547FB597" w14:textId="5CA170FB" w:rsidR="00675CEC" w:rsidRDefault="00675CEC" w:rsidP="00675CEC">
            <w:r>
              <w:t>McDaid et al (in Knapp et al, 2011)</w:t>
            </w:r>
          </w:p>
        </w:tc>
        <w:tc>
          <w:tcPr>
            <w:tcW w:w="252" w:type="pct"/>
          </w:tcPr>
          <w:p w14:paraId="42664F2D" w14:textId="387825F9" w:rsidR="00675CEC" w:rsidRDefault="00675CEC" w:rsidP="00675CEC">
            <w:r>
              <w:t>2011</w:t>
            </w:r>
          </w:p>
        </w:tc>
        <w:tc>
          <w:tcPr>
            <w:tcW w:w="679" w:type="pct"/>
          </w:tcPr>
          <w:p w14:paraId="69F84BB5" w14:textId="21010B9F" w:rsidR="00675CEC" w:rsidRPr="000867AE" w:rsidRDefault="00675CEC" w:rsidP="00FF2B79">
            <w:r w:rsidRPr="00675CEC">
              <w:t xml:space="preserve">From a business perspective the </w:t>
            </w:r>
            <w:r w:rsidR="00FF2B79">
              <w:t xml:space="preserve">providing mental health promotion in the workplace </w:t>
            </w:r>
            <w:r w:rsidRPr="00675CEC">
              <w:t>appears cost savi</w:t>
            </w:r>
            <w:r w:rsidR="00FF2B79">
              <w:t>ng compared to taking no action.</w:t>
            </w:r>
            <w:r w:rsidRPr="00675CEC">
              <w:t xml:space="preserve"> </w:t>
            </w:r>
          </w:p>
        </w:tc>
        <w:tc>
          <w:tcPr>
            <w:tcW w:w="679" w:type="pct"/>
          </w:tcPr>
          <w:p w14:paraId="757D6133" w14:textId="439E3A58" w:rsidR="00675CEC" w:rsidRPr="000867AE" w:rsidRDefault="00675CEC" w:rsidP="00675CEC">
            <w:r w:rsidRPr="00675CEC">
              <w:t>The cost of a multi-component intervention is estimate</w:t>
            </w:r>
            <w:r>
              <w:t>d at £80 per employee per year</w:t>
            </w:r>
          </w:p>
        </w:tc>
        <w:tc>
          <w:tcPr>
            <w:tcW w:w="701" w:type="pct"/>
          </w:tcPr>
          <w:p w14:paraId="6606EACB" w14:textId="003FBC84" w:rsidR="00675CEC" w:rsidRDefault="00675CEC" w:rsidP="00675CEC">
            <w:r w:rsidRPr="00675CEC">
              <w:t xml:space="preserve">In year 1, the initial costs of £40,000 </w:t>
            </w:r>
            <w:r>
              <w:t xml:space="preserve">(2009 prices) </w:t>
            </w:r>
            <w:r w:rsidRPr="00675CEC">
              <w:t>for the programme are outweighed by gains arising from reduced presenteeism and absenteeism of £387,722</w:t>
            </w:r>
            <w:r>
              <w:t xml:space="preserve"> (2009 prices)</w:t>
            </w:r>
            <w:r w:rsidRPr="00675CEC">
              <w:t xml:space="preserve">. This represents a substantial annual return on investment of more than 9 to 1. In addition there are likely to be benefits to the health system from reduced physical and mental health problems as a </w:t>
            </w:r>
            <w:r w:rsidRPr="00675CEC">
              <w:lastRenderedPageBreak/>
              <w:t>result of the intervention, but these are not quantified here.</w:t>
            </w:r>
          </w:p>
        </w:tc>
        <w:tc>
          <w:tcPr>
            <w:tcW w:w="877" w:type="pct"/>
          </w:tcPr>
          <w:p w14:paraId="326A64F5" w14:textId="3C6E40F1" w:rsidR="00675CEC" w:rsidRPr="000867AE" w:rsidRDefault="00675CEC" w:rsidP="00675CEC">
            <w:r w:rsidRPr="00675CEC">
              <w:lastRenderedPageBreak/>
              <w:t>A strong case can be made to businesses that workplace well-being interventions can be significantly cost-saving in the short term, but some smaller companies may need public support to implement such schemes</w:t>
            </w:r>
            <w:r w:rsidR="00FF2B79">
              <w:t>.</w:t>
            </w:r>
          </w:p>
        </w:tc>
        <w:tc>
          <w:tcPr>
            <w:tcW w:w="893" w:type="pct"/>
          </w:tcPr>
          <w:p w14:paraId="36AFE478" w14:textId="3B422CCA" w:rsidR="00675CEC" w:rsidRDefault="00675CEC" w:rsidP="00675CEC">
            <w:r>
              <w:t>Strong</w:t>
            </w:r>
          </w:p>
        </w:tc>
      </w:tr>
      <w:tr w:rsidR="00A40091" w:rsidRPr="002F0252" w14:paraId="7DAC26E0" w14:textId="77777777" w:rsidTr="0054069F">
        <w:trPr>
          <w:trHeight w:val="3888"/>
        </w:trPr>
        <w:tc>
          <w:tcPr>
            <w:tcW w:w="491" w:type="pct"/>
          </w:tcPr>
          <w:p w14:paraId="25958694" w14:textId="562B9B9F" w:rsidR="00A40091" w:rsidRPr="001A0F45" w:rsidRDefault="00A40091" w:rsidP="00675CEC">
            <w:pPr>
              <w:rPr>
                <w:rFonts w:cstheme="minorHAnsi"/>
              </w:rPr>
            </w:pPr>
            <w:r w:rsidRPr="001A0F45">
              <w:rPr>
                <w:rFonts w:cstheme="minorHAnsi"/>
              </w:rPr>
              <w:lastRenderedPageBreak/>
              <w:t>Mental health promotion</w:t>
            </w:r>
          </w:p>
        </w:tc>
        <w:tc>
          <w:tcPr>
            <w:tcW w:w="428" w:type="pct"/>
          </w:tcPr>
          <w:p w14:paraId="410B92AB" w14:textId="5BDE636F" w:rsidR="00A40091" w:rsidRPr="001A0F45" w:rsidRDefault="00A40091" w:rsidP="00A40091">
            <w:pPr>
              <w:rPr>
                <w:rFonts w:cstheme="minorHAnsi"/>
              </w:rPr>
            </w:pPr>
            <w:r w:rsidRPr="00A40091">
              <w:rPr>
                <w:rFonts w:cstheme="minorHAnsi"/>
              </w:rPr>
              <w:t>Milligan-Saville</w:t>
            </w:r>
            <w:r w:rsidRPr="001A0F45">
              <w:rPr>
                <w:rFonts w:cstheme="minorHAnsi"/>
              </w:rPr>
              <w:t xml:space="preserve"> et al.,</w:t>
            </w:r>
          </w:p>
          <w:p w14:paraId="745895AF" w14:textId="40809B66" w:rsidR="00A40091" w:rsidRPr="001A0F45" w:rsidRDefault="00A40091" w:rsidP="00A40091">
            <w:pPr>
              <w:rPr>
                <w:rFonts w:cstheme="minorHAnsi"/>
              </w:rPr>
            </w:pPr>
          </w:p>
        </w:tc>
        <w:tc>
          <w:tcPr>
            <w:tcW w:w="252" w:type="pct"/>
          </w:tcPr>
          <w:p w14:paraId="05734414" w14:textId="44157F61" w:rsidR="00A40091" w:rsidRPr="001A0F45" w:rsidRDefault="00A40091" w:rsidP="00675CEC">
            <w:pPr>
              <w:rPr>
                <w:rFonts w:cstheme="minorHAnsi"/>
              </w:rPr>
            </w:pPr>
            <w:r w:rsidRPr="001A0F45">
              <w:rPr>
                <w:rFonts w:cstheme="minorHAnsi"/>
              </w:rPr>
              <w:t>2017</w:t>
            </w:r>
          </w:p>
        </w:tc>
        <w:tc>
          <w:tcPr>
            <w:tcW w:w="679" w:type="pct"/>
          </w:tcPr>
          <w:p w14:paraId="32075D27" w14:textId="34952EA7" w:rsidR="00A40091" w:rsidRPr="001A0F45" w:rsidRDefault="00A40091" w:rsidP="000A6A6B">
            <w:pPr>
              <w:rPr>
                <w:rFonts w:cstheme="minorHAnsi"/>
              </w:rPr>
            </w:pPr>
            <w:r w:rsidRPr="001A0F45">
              <w:rPr>
                <w:rFonts w:cstheme="minorHAnsi"/>
              </w:rPr>
              <w:t>A 4-h manager mental health training programme could lead to a significant reduction in work-related sickness absence</w:t>
            </w:r>
            <w:r w:rsidR="000A6A6B" w:rsidRPr="001A0F45">
              <w:rPr>
                <w:rFonts w:cstheme="minorHAnsi"/>
              </w:rPr>
              <w:t xml:space="preserve">. </w:t>
            </w:r>
          </w:p>
        </w:tc>
        <w:tc>
          <w:tcPr>
            <w:tcW w:w="679" w:type="pct"/>
          </w:tcPr>
          <w:p w14:paraId="5F8D693F" w14:textId="58220597" w:rsidR="00A40091" w:rsidRPr="001A0F45" w:rsidRDefault="000A6A6B" w:rsidP="000A6A6B">
            <w:pPr>
              <w:rPr>
                <w:rFonts w:cstheme="minorHAnsi"/>
              </w:rPr>
            </w:pPr>
            <w:r w:rsidRPr="001A0F45">
              <w:rPr>
                <w:rFonts w:cstheme="minorHAnsi"/>
              </w:rPr>
              <w:t xml:space="preserve">Associated return on investment of £9.98 for each pound spent on such training. </w:t>
            </w:r>
          </w:p>
        </w:tc>
        <w:tc>
          <w:tcPr>
            <w:tcW w:w="701" w:type="pct"/>
          </w:tcPr>
          <w:p w14:paraId="4F0B8C0C" w14:textId="0E753FDE" w:rsidR="00A40091" w:rsidRPr="001A0F45" w:rsidRDefault="000A6A6B" w:rsidP="000A6A6B">
            <w:pPr>
              <w:rPr>
                <w:rFonts w:cstheme="minorHAnsi"/>
              </w:rPr>
            </w:pPr>
            <w:r w:rsidRPr="001A0F45">
              <w:rPr>
                <w:rFonts w:cstheme="minorHAnsi"/>
              </w:rPr>
              <w:t>£9.98 return on every £1 spent on training.</w:t>
            </w:r>
          </w:p>
        </w:tc>
        <w:tc>
          <w:tcPr>
            <w:tcW w:w="877" w:type="pct"/>
          </w:tcPr>
          <w:p w14:paraId="0908935C" w14:textId="06DC5E45" w:rsidR="00A40091" w:rsidRPr="001A0F45" w:rsidRDefault="000A6A6B" w:rsidP="00675CEC">
            <w:pPr>
              <w:rPr>
                <w:rFonts w:cstheme="minorHAnsi"/>
              </w:rPr>
            </w:pPr>
            <w:r w:rsidRPr="001A0F45">
              <w:rPr>
                <w:rFonts w:cstheme="minorHAnsi"/>
              </w:rPr>
              <w:t>Further research is needed to confirm these findings and test their applicability in other work settings.</w:t>
            </w:r>
          </w:p>
        </w:tc>
        <w:tc>
          <w:tcPr>
            <w:tcW w:w="893" w:type="pct"/>
          </w:tcPr>
          <w:p w14:paraId="2909F296" w14:textId="05891658" w:rsidR="00A40091" w:rsidRPr="001A0F45" w:rsidRDefault="000A6A6B" w:rsidP="00675CEC">
            <w:pPr>
              <w:rPr>
                <w:rFonts w:cstheme="minorHAnsi"/>
              </w:rPr>
            </w:pPr>
            <w:r w:rsidRPr="001A0F45">
              <w:rPr>
                <w:rFonts w:cstheme="minorHAnsi"/>
              </w:rPr>
              <w:t>Strong</w:t>
            </w:r>
          </w:p>
        </w:tc>
      </w:tr>
      <w:tr w:rsidR="00C75BC8" w:rsidRPr="002F0252" w14:paraId="31680576" w14:textId="77777777" w:rsidTr="0054069F">
        <w:trPr>
          <w:trHeight w:val="3888"/>
        </w:trPr>
        <w:tc>
          <w:tcPr>
            <w:tcW w:w="491" w:type="pct"/>
          </w:tcPr>
          <w:p w14:paraId="3D07E693" w14:textId="286E80A2" w:rsidR="00C75BC8" w:rsidRDefault="00C75BC8" w:rsidP="00675CEC">
            <w:r>
              <w:lastRenderedPageBreak/>
              <w:t>Mindfulness</w:t>
            </w:r>
          </w:p>
        </w:tc>
        <w:tc>
          <w:tcPr>
            <w:tcW w:w="428" w:type="pct"/>
          </w:tcPr>
          <w:p w14:paraId="73257083" w14:textId="5729D628" w:rsidR="00C75BC8" w:rsidRDefault="00F73DC4" w:rsidP="00675CEC">
            <w:r>
              <w:t xml:space="preserve">Van Dongen et al </w:t>
            </w:r>
          </w:p>
        </w:tc>
        <w:tc>
          <w:tcPr>
            <w:tcW w:w="252" w:type="pct"/>
          </w:tcPr>
          <w:p w14:paraId="7E5A4CFE" w14:textId="2D21299F" w:rsidR="00C75BC8" w:rsidRDefault="00F73DC4" w:rsidP="00675CEC">
            <w:r>
              <w:t>2016</w:t>
            </w:r>
          </w:p>
        </w:tc>
        <w:tc>
          <w:tcPr>
            <w:tcW w:w="679" w:type="pct"/>
          </w:tcPr>
          <w:p w14:paraId="6948B2C4" w14:textId="386F444B" w:rsidR="00C75BC8" w:rsidRPr="00675CEC" w:rsidRDefault="005D27F4" w:rsidP="00FF2B79">
            <w:r>
              <w:rPr>
                <w:rFonts w:ascii="Arial" w:hAnsi="Arial" w:cs="Arial"/>
                <w:color w:val="333333"/>
                <w:sz w:val="21"/>
                <w:szCs w:val="21"/>
                <w:shd w:val="clear" w:color="auto" w:fill="F1F1F1"/>
              </w:rPr>
              <w:t>After 12 months, a significant but not clinically relevant adverse effect on work engagement was found (−0.19; 95% confidence interval: −0.38 to −0.01).</w:t>
            </w:r>
          </w:p>
        </w:tc>
        <w:tc>
          <w:tcPr>
            <w:tcW w:w="679" w:type="pct"/>
          </w:tcPr>
          <w:p w14:paraId="24FF0B35" w14:textId="070E8BEE" w:rsidR="00C75BC8" w:rsidRPr="00675CEC" w:rsidRDefault="005D27F4" w:rsidP="005D27F4">
            <w:r>
              <w:rPr>
                <w:rFonts w:ascii="Arial" w:hAnsi="Arial" w:cs="Arial"/>
                <w:color w:val="333333"/>
                <w:sz w:val="21"/>
                <w:szCs w:val="21"/>
                <w:shd w:val="clear" w:color="auto" w:fill="F1F1F1"/>
              </w:rPr>
              <w:t xml:space="preserve">There were no significant differences in job satisfaction, general vitality, work ability, and total costs. </w:t>
            </w:r>
          </w:p>
        </w:tc>
        <w:tc>
          <w:tcPr>
            <w:tcW w:w="701" w:type="pct"/>
          </w:tcPr>
          <w:p w14:paraId="675DA959" w14:textId="704DB227" w:rsidR="00C75BC8" w:rsidRPr="00675CEC" w:rsidRDefault="005D27F4" w:rsidP="00675CEC">
            <w:r>
              <w:rPr>
                <w:rFonts w:ascii="Arial" w:hAnsi="Arial" w:cs="Arial"/>
                <w:color w:val="333333"/>
                <w:sz w:val="21"/>
                <w:szCs w:val="21"/>
                <w:shd w:val="clear" w:color="auto" w:fill="F1F1F1"/>
              </w:rPr>
              <w:t>Probabilities of cost-effectiveness were low (≤0.25) and the intervention did not have a positive financial return to the employer.</w:t>
            </w:r>
          </w:p>
        </w:tc>
        <w:tc>
          <w:tcPr>
            <w:tcW w:w="877" w:type="pct"/>
          </w:tcPr>
          <w:p w14:paraId="0F36A4E9" w14:textId="202F3CCF" w:rsidR="00C75BC8" w:rsidRPr="00675CEC" w:rsidRDefault="00D1517B" w:rsidP="00675CEC">
            <w:r>
              <w:rPr>
                <w:rFonts w:ascii="Arial" w:hAnsi="Arial" w:cs="Arial"/>
                <w:color w:val="333333"/>
                <w:sz w:val="21"/>
                <w:szCs w:val="21"/>
                <w:shd w:val="clear" w:color="auto" w:fill="F1F1F1"/>
              </w:rPr>
              <w:t>The mindfulness workplace based intervention was neither cost-saving nor cost-effective. Poor e-coaching compliance might partly explain this result.</w:t>
            </w:r>
          </w:p>
        </w:tc>
        <w:tc>
          <w:tcPr>
            <w:tcW w:w="893" w:type="pct"/>
          </w:tcPr>
          <w:p w14:paraId="3E612F80" w14:textId="6F2E14E6" w:rsidR="00C75BC8" w:rsidRDefault="005D27F4" w:rsidP="00675CEC">
            <w:r>
              <w:t>Strong</w:t>
            </w:r>
          </w:p>
        </w:tc>
      </w:tr>
      <w:tr w:rsidR="00A73310" w:rsidRPr="002F0252" w14:paraId="78ACBFE1" w14:textId="77777777" w:rsidTr="0054069F">
        <w:trPr>
          <w:trHeight w:val="3888"/>
        </w:trPr>
        <w:tc>
          <w:tcPr>
            <w:tcW w:w="491" w:type="pct"/>
          </w:tcPr>
          <w:p w14:paraId="53B14EFC" w14:textId="10E896D0" w:rsidR="00A73310" w:rsidRDefault="00A73310" w:rsidP="00675CEC">
            <w:r>
              <w:lastRenderedPageBreak/>
              <w:t>Mindfulness</w:t>
            </w:r>
          </w:p>
        </w:tc>
        <w:tc>
          <w:tcPr>
            <w:tcW w:w="428" w:type="pct"/>
          </w:tcPr>
          <w:p w14:paraId="542FEE5D" w14:textId="0AB22A0E" w:rsidR="00A73310" w:rsidRDefault="00A73310" w:rsidP="00675CEC">
            <w:r>
              <w:t xml:space="preserve">Klatt et al </w:t>
            </w:r>
          </w:p>
        </w:tc>
        <w:tc>
          <w:tcPr>
            <w:tcW w:w="252" w:type="pct"/>
          </w:tcPr>
          <w:p w14:paraId="4DD8574D" w14:textId="59F149F5" w:rsidR="00A73310" w:rsidRDefault="00A73310" w:rsidP="00675CEC">
            <w:r>
              <w:t>2016</w:t>
            </w:r>
          </w:p>
        </w:tc>
        <w:tc>
          <w:tcPr>
            <w:tcW w:w="679" w:type="pct"/>
          </w:tcPr>
          <w:p w14:paraId="7F9A05ED" w14:textId="6F3B12ED" w:rsidR="00A73310" w:rsidRDefault="004E774B" w:rsidP="004E774B">
            <w:pPr>
              <w:rPr>
                <w:rFonts w:ascii="Arial" w:hAnsi="Arial" w:cs="Arial"/>
                <w:color w:val="333333"/>
                <w:sz w:val="21"/>
                <w:szCs w:val="21"/>
                <w:shd w:val="clear" w:color="auto" w:fill="F1F1F1"/>
              </w:rPr>
            </w:pPr>
            <w:r>
              <w:rPr>
                <w:rFonts w:ascii="Arial" w:hAnsi="Arial" w:cs="Arial"/>
                <w:color w:val="333333"/>
                <w:sz w:val="21"/>
                <w:szCs w:val="21"/>
                <w:shd w:val="clear" w:color="auto" w:fill="F1F1F1"/>
              </w:rPr>
              <w:t>Worksite mindfulness is an intervention that resulted in fewer following healthcare visits.</w:t>
            </w:r>
          </w:p>
        </w:tc>
        <w:tc>
          <w:tcPr>
            <w:tcW w:w="679" w:type="pct"/>
          </w:tcPr>
          <w:p w14:paraId="52E256F3" w14:textId="31DD746E" w:rsidR="00A73310" w:rsidRDefault="004E774B" w:rsidP="005D27F4">
            <w:pPr>
              <w:rPr>
                <w:rFonts w:ascii="Arial" w:hAnsi="Arial" w:cs="Arial"/>
                <w:color w:val="333333"/>
                <w:sz w:val="21"/>
                <w:szCs w:val="21"/>
                <w:shd w:val="clear" w:color="auto" w:fill="F1F1F1"/>
              </w:rPr>
            </w:pPr>
            <w:r>
              <w:rPr>
                <w:rFonts w:ascii="Arial" w:hAnsi="Arial" w:cs="Arial"/>
                <w:color w:val="333333"/>
                <w:sz w:val="21"/>
                <w:szCs w:val="21"/>
                <w:shd w:val="clear" w:color="auto" w:fill="F1F1F1"/>
              </w:rPr>
              <w:t>Fewer healthcare visits leading to less costs to the economy</w:t>
            </w:r>
          </w:p>
        </w:tc>
        <w:tc>
          <w:tcPr>
            <w:tcW w:w="701" w:type="pct"/>
          </w:tcPr>
          <w:p w14:paraId="502E79E0" w14:textId="35FEE83D" w:rsidR="00A73310" w:rsidRDefault="004E774B" w:rsidP="00675CEC">
            <w:pPr>
              <w:rPr>
                <w:rFonts w:ascii="Arial" w:hAnsi="Arial" w:cs="Arial"/>
                <w:color w:val="333333"/>
                <w:sz w:val="21"/>
                <w:szCs w:val="21"/>
                <w:shd w:val="clear" w:color="auto" w:fill="F1F1F1"/>
              </w:rPr>
            </w:pPr>
            <w:r w:rsidRPr="004E774B">
              <w:rPr>
                <w:rFonts w:ascii="Arial" w:hAnsi="Arial" w:cs="Arial"/>
                <w:color w:val="333333"/>
                <w:sz w:val="21"/>
                <w:szCs w:val="21"/>
                <w:shd w:val="clear" w:color="auto" w:fill="F1F1F1"/>
              </w:rPr>
              <w:t xml:space="preserve">Significantly fewer primary care visits (p &lt; .001) for both intervention groups as compared to controls, with a non-significant trend towards lower overall HC utilization </w:t>
            </w:r>
            <w:r>
              <w:rPr>
                <w:rFonts w:ascii="Arial" w:hAnsi="Arial" w:cs="Arial"/>
                <w:color w:val="333333"/>
                <w:sz w:val="21"/>
                <w:szCs w:val="21"/>
                <w:shd w:val="clear" w:color="auto" w:fill="F1F1F1"/>
              </w:rPr>
              <w:t>(4,300.00 actual dollar differ</w:t>
            </w:r>
            <w:r w:rsidRPr="004E774B">
              <w:rPr>
                <w:rFonts w:ascii="Arial" w:hAnsi="Arial" w:cs="Arial"/>
                <w:color w:val="333333"/>
                <w:sz w:val="21"/>
                <w:szCs w:val="21"/>
                <w:shd w:val="clear" w:color="auto" w:fill="F1F1F1"/>
              </w:rPr>
              <w:t xml:space="preserve">ences) and hospital admissions for the intervention groups after five years. Pharmacy costs and number of prescriptions were significantly higher for the two intervention groups compared to controls over the five years (p &lt; 0.05), yet still resulted in less HC utilization costs, potentially </w:t>
            </w:r>
            <w:r w:rsidRPr="004E774B">
              <w:rPr>
                <w:rFonts w:ascii="Arial" w:hAnsi="Arial" w:cs="Arial"/>
                <w:color w:val="333333"/>
                <w:sz w:val="21"/>
                <w:szCs w:val="21"/>
                <w:shd w:val="clear" w:color="auto" w:fill="F1F1F1"/>
              </w:rPr>
              <w:lastRenderedPageBreak/>
              <w:t>indicating greater self- management of care.</w:t>
            </w:r>
          </w:p>
        </w:tc>
        <w:tc>
          <w:tcPr>
            <w:tcW w:w="877" w:type="pct"/>
          </w:tcPr>
          <w:p w14:paraId="220658CC" w14:textId="7B7E181C" w:rsidR="00A73310" w:rsidRDefault="004E774B" w:rsidP="004E774B">
            <w:pPr>
              <w:rPr>
                <w:rFonts w:ascii="Arial" w:hAnsi="Arial" w:cs="Arial"/>
                <w:color w:val="333333"/>
                <w:sz w:val="21"/>
                <w:szCs w:val="21"/>
                <w:shd w:val="clear" w:color="auto" w:fill="F1F1F1"/>
              </w:rPr>
            </w:pPr>
            <w:r>
              <w:rPr>
                <w:rFonts w:ascii="Arial" w:hAnsi="Arial" w:cs="Arial"/>
                <w:color w:val="333333"/>
                <w:sz w:val="21"/>
                <w:szCs w:val="21"/>
                <w:shd w:val="clear" w:color="auto" w:fill="F1F1F1"/>
              </w:rPr>
              <w:lastRenderedPageBreak/>
              <w:t>P</w:t>
            </w:r>
            <w:r w:rsidRPr="004E774B">
              <w:rPr>
                <w:rFonts w:ascii="Arial" w:hAnsi="Arial" w:cs="Arial"/>
                <w:color w:val="333333"/>
                <w:sz w:val="21"/>
                <w:szCs w:val="21"/>
                <w:shd w:val="clear" w:color="auto" w:fill="F1F1F1"/>
              </w:rPr>
              <w:t>roviding work- place lifestyle interventions that focus on awareness of one’s body and health</w:t>
            </w:r>
            <w:r>
              <w:rPr>
                <w:rFonts w:ascii="Arial" w:hAnsi="Arial" w:cs="Arial"/>
                <w:color w:val="333333"/>
                <w:sz w:val="21"/>
                <w:szCs w:val="21"/>
                <w:shd w:val="clear" w:color="auto" w:fill="F1F1F1"/>
              </w:rPr>
              <w:t xml:space="preserve"> can result in cost savings</w:t>
            </w:r>
          </w:p>
        </w:tc>
        <w:tc>
          <w:tcPr>
            <w:tcW w:w="893" w:type="pct"/>
          </w:tcPr>
          <w:p w14:paraId="68895C74" w14:textId="75703D31" w:rsidR="00A73310" w:rsidRDefault="004E774B" w:rsidP="00675CEC">
            <w:r>
              <w:t>Strong</w:t>
            </w:r>
          </w:p>
        </w:tc>
      </w:tr>
      <w:tr w:rsidR="000D57B6" w:rsidRPr="002F0252" w14:paraId="354D3CE3" w14:textId="77777777" w:rsidTr="0054069F">
        <w:trPr>
          <w:trHeight w:val="3888"/>
        </w:trPr>
        <w:tc>
          <w:tcPr>
            <w:tcW w:w="491" w:type="pct"/>
          </w:tcPr>
          <w:p w14:paraId="2B491050" w14:textId="20F830FA" w:rsidR="000D57B6" w:rsidRDefault="000D57B6" w:rsidP="00675CEC">
            <w:r>
              <w:lastRenderedPageBreak/>
              <w:t>Mindfulness</w:t>
            </w:r>
          </w:p>
        </w:tc>
        <w:tc>
          <w:tcPr>
            <w:tcW w:w="428" w:type="pct"/>
          </w:tcPr>
          <w:p w14:paraId="2D0390F3" w14:textId="13AA6090" w:rsidR="000D57B6" w:rsidRDefault="000D57B6" w:rsidP="00675CEC">
            <w:r>
              <w:t xml:space="preserve">Herman et al </w:t>
            </w:r>
          </w:p>
        </w:tc>
        <w:tc>
          <w:tcPr>
            <w:tcW w:w="252" w:type="pct"/>
          </w:tcPr>
          <w:p w14:paraId="7CDC837B" w14:textId="7A60A9CE" w:rsidR="000D57B6" w:rsidRDefault="000D57B6" w:rsidP="00675CEC">
            <w:r>
              <w:t>2017</w:t>
            </w:r>
          </w:p>
        </w:tc>
        <w:tc>
          <w:tcPr>
            <w:tcW w:w="679" w:type="pct"/>
          </w:tcPr>
          <w:p w14:paraId="32ACF148" w14:textId="7051A866" w:rsidR="000D57B6" w:rsidRDefault="00695B52" w:rsidP="004E774B">
            <w:pPr>
              <w:rPr>
                <w:rFonts w:ascii="Arial" w:hAnsi="Arial" w:cs="Arial"/>
                <w:color w:val="333333"/>
                <w:sz w:val="21"/>
                <w:szCs w:val="21"/>
                <w:shd w:val="clear" w:color="auto" w:fill="F1F1F1"/>
              </w:rPr>
            </w:pPr>
            <w:r w:rsidRPr="00695B52">
              <w:rPr>
                <w:rFonts w:ascii="Arial" w:hAnsi="Arial" w:cs="Arial"/>
                <w:color w:val="333333"/>
                <w:sz w:val="21"/>
                <w:szCs w:val="21"/>
                <w:shd w:val="clear" w:color="auto" w:fill="F1F1F1"/>
              </w:rPr>
              <w:t>Mindfulness-Based Stress Reduction</w:t>
            </w:r>
            <w:r>
              <w:rPr>
                <w:rFonts w:ascii="Arial" w:hAnsi="Arial" w:cs="Arial"/>
                <w:color w:val="333333"/>
                <w:sz w:val="21"/>
                <w:szCs w:val="21"/>
                <w:shd w:val="clear" w:color="auto" w:fill="F1F1F1"/>
              </w:rPr>
              <w:t xml:space="preserve"> may be cost-effective in adults with lower back pain.</w:t>
            </w:r>
          </w:p>
        </w:tc>
        <w:tc>
          <w:tcPr>
            <w:tcW w:w="679" w:type="pct"/>
          </w:tcPr>
          <w:p w14:paraId="2FB12AB4" w14:textId="08F63E68" w:rsidR="000D57B6" w:rsidRDefault="00D108B6" w:rsidP="005D27F4">
            <w:pPr>
              <w:rPr>
                <w:rFonts w:ascii="Arial" w:hAnsi="Arial" w:cs="Arial"/>
                <w:color w:val="333333"/>
                <w:sz w:val="21"/>
                <w:szCs w:val="21"/>
                <w:shd w:val="clear" w:color="auto" w:fill="F1F1F1"/>
              </w:rPr>
            </w:pPr>
            <w:r w:rsidRPr="00D108B6">
              <w:rPr>
                <w:rFonts w:ascii="Arial" w:hAnsi="Arial" w:cs="Arial"/>
                <w:color w:val="333333"/>
                <w:sz w:val="21"/>
                <w:szCs w:val="21"/>
                <w:shd w:val="clear" w:color="auto" w:fill="F1F1F1"/>
              </w:rPr>
              <w:t>Compared to UC, the mean incremental cost per participant to society of CBT was $125 (95% CI: −4103, 4307) and of MBSR was −$724 (CI: −4386, 2778)—i.e., a net saving of $724. Incremental costs per participant to the health plan were $495 for CBT over UC and −$982 for MBSR, and incremental back-related costs per participant were $984 for CBT over UC and − $127 for MBS</w:t>
            </w:r>
            <w:r>
              <w:rPr>
                <w:rFonts w:ascii="Arial" w:hAnsi="Arial" w:cs="Arial"/>
                <w:color w:val="333333"/>
                <w:sz w:val="21"/>
                <w:szCs w:val="21"/>
                <w:shd w:val="clear" w:color="auto" w:fill="F1F1F1"/>
              </w:rPr>
              <w:t>R.</w:t>
            </w:r>
          </w:p>
        </w:tc>
        <w:tc>
          <w:tcPr>
            <w:tcW w:w="701" w:type="pct"/>
          </w:tcPr>
          <w:p w14:paraId="3AC0032C" w14:textId="36C00437" w:rsidR="000D57B6" w:rsidRPr="004E774B" w:rsidRDefault="00D108B6" w:rsidP="00675CEC">
            <w:pPr>
              <w:rPr>
                <w:rFonts w:ascii="Arial" w:hAnsi="Arial" w:cs="Arial"/>
                <w:color w:val="333333"/>
                <w:sz w:val="21"/>
                <w:szCs w:val="21"/>
                <w:shd w:val="clear" w:color="auto" w:fill="F1F1F1"/>
              </w:rPr>
            </w:pPr>
            <w:r w:rsidRPr="00D108B6">
              <w:rPr>
                <w:rFonts w:ascii="Arial" w:hAnsi="Arial" w:cs="Arial"/>
                <w:color w:val="333333"/>
                <w:sz w:val="21"/>
                <w:szCs w:val="21"/>
                <w:shd w:val="clear" w:color="auto" w:fill="F1F1F1"/>
              </w:rPr>
              <w:t>These costs (and cost savings) were associated with statistically significant gains in QALYs over UC: 0.041 (0.015, 0.067) for CBT and 0.034 (0.008, 0.060) for MBSR</w:t>
            </w:r>
          </w:p>
        </w:tc>
        <w:tc>
          <w:tcPr>
            <w:tcW w:w="877" w:type="pct"/>
          </w:tcPr>
          <w:p w14:paraId="73468945" w14:textId="139AEC36" w:rsidR="000D57B6" w:rsidRDefault="00695B52" w:rsidP="00D108B6">
            <w:pPr>
              <w:rPr>
                <w:rFonts w:ascii="Arial" w:hAnsi="Arial" w:cs="Arial"/>
                <w:color w:val="333333"/>
                <w:sz w:val="21"/>
                <w:szCs w:val="21"/>
                <w:shd w:val="clear" w:color="auto" w:fill="F1F1F1"/>
              </w:rPr>
            </w:pPr>
            <w:r w:rsidRPr="00695B52">
              <w:rPr>
                <w:rFonts w:ascii="Arial" w:hAnsi="Arial" w:cs="Arial"/>
                <w:color w:val="333333"/>
                <w:sz w:val="21"/>
                <w:szCs w:val="21"/>
                <w:shd w:val="clear" w:color="auto" w:fill="F1F1F1"/>
              </w:rPr>
              <w:t>Mindfulness-Based Stress Reduction</w:t>
            </w:r>
            <w:r>
              <w:rPr>
                <w:rFonts w:ascii="Arial" w:hAnsi="Arial" w:cs="Arial"/>
                <w:color w:val="333333"/>
                <w:sz w:val="21"/>
                <w:szCs w:val="21"/>
                <w:shd w:val="clear" w:color="auto" w:fill="F1F1F1"/>
              </w:rPr>
              <w:t xml:space="preserve"> may be cost-effective </w:t>
            </w:r>
            <w:r w:rsidR="00D108B6">
              <w:rPr>
                <w:rFonts w:ascii="Arial" w:hAnsi="Arial" w:cs="Arial"/>
                <w:color w:val="333333"/>
                <w:sz w:val="21"/>
                <w:szCs w:val="21"/>
                <w:shd w:val="clear" w:color="auto" w:fill="F1F1F1"/>
              </w:rPr>
              <w:t xml:space="preserve">for </w:t>
            </w:r>
            <w:r>
              <w:rPr>
                <w:rFonts w:ascii="Arial" w:hAnsi="Arial" w:cs="Arial"/>
                <w:color w:val="333333"/>
                <w:sz w:val="21"/>
                <w:szCs w:val="21"/>
                <w:shd w:val="clear" w:color="auto" w:fill="F1F1F1"/>
              </w:rPr>
              <w:t>adults with lower back pain.</w:t>
            </w:r>
          </w:p>
        </w:tc>
        <w:tc>
          <w:tcPr>
            <w:tcW w:w="893" w:type="pct"/>
          </w:tcPr>
          <w:p w14:paraId="740D178C" w14:textId="5224CEF9" w:rsidR="000D57B6" w:rsidRDefault="00695B52" w:rsidP="00675CEC">
            <w:r>
              <w:t>Strong</w:t>
            </w:r>
          </w:p>
        </w:tc>
      </w:tr>
      <w:tr w:rsidR="00126E07" w:rsidRPr="002F0252" w14:paraId="77C3A374" w14:textId="77777777" w:rsidTr="0054069F">
        <w:trPr>
          <w:trHeight w:val="3888"/>
        </w:trPr>
        <w:tc>
          <w:tcPr>
            <w:tcW w:w="491" w:type="pct"/>
          </w:tcPr>
          <w:p w14:paraId="6F0F3F5F" w14:textId="77777777" w:rsidR="00126E07" w:rsidRPr="002F0252" w:rsidRDefault="00126E07" w:rsidP="007848D2">
            <w:r w:rsidRPr="002F0252">
              <w:lastRenderedPageBreak/>
              <w:t>Severe mental illness</w:t>
            </w:r>
          </w:p>
        </w:tc>
        <w:tc>
          <w:tcPr>
            <w:tcW w:w="428" w:type="pct"/>
          </w:tcPr>
          <w:p w14:paraId="36FF1693" w14:textId="77777777" w:rsidR="00126E07" w:rsidRPr="002F0252" w:rsidRDefault="00126E07" w:rsidP="007848D2">
            <w:r w:rsidRPr="002F0252">
              <w:t xml:space="preserve">Stewart et al </w:t>
            </w:r>
          </w:p>
        </w:tc>
        <w:tc>
          <w:tcPr>
            <w:tcW w:w="252" w:type="pct"/>
          </w:tcPr>
          <w:p w14:paraId="7311D101" w14:textId="77777777" w:rsidR="00126E07" w:rsidRPr="002F0252" w:rsidRDefault="00126E07" w:rsidP="007848D2">
            <w:r w:rsidRPr="002F0252">
              <w:t>2003</w:t>
            </w:r>
          </w:p>
        </w:tc>
        <w:tc>
          <w:tcPr>
            <w:tcW w:w="679" w:type="pct"/>
          </w:tcPr>
          <w:p w14:paraId="0D8BF7C5" w14:textId="77777777" w:rsidR="00126E07" w:rsidRPr="002F0252" w:rsidRDefault="00126E07" w:rsidP="007848D2">
            <w:r w:rsidRPr="002F0252">
              <w:t>Lost productive time is a big cost among US workers with depression.</w:t>
            </w:r>
          </w:p>
        </w:tc>
        <w:tc>
          <w:tcPr>
            <w:tcW w:w="679" w:type="pct"/>
          </w:tcPr>
          <w:p w14:paraId="4DAD0354" w14:textId="77777777" w:rsidR="00126E07" w:rsidRPr="002F0252" w:rsidRDefault="00126E07" w:rsidP="007848D2">
            <w:r w:rsidRPr="002F0252">
              <w:t>Lost productive time from depression was estimated to be $44 billion per year, and this is significantly more than the $31 billion per year in productivity time loss of peers without depression.</w:t>
            </w:r>
          </w:p>
        </w:tc>
        <w:tc>
          <w:tcPr>
            <w:tcW w:w="701" w:type="pct"/>
          </w:tcPr>
          <w:p w14:paraId="0165814A" w14:textId="77777777" w:rsidR="00126E07" w:rsidRPr="002F0252" w:rsidRDefault="00126E07" w:rsidP="007848D2">
            <w:r w:rsidRPr="002F0252">
              <w:t>The authors suggested that a cost-saving in terms of less lost productive time could be made.</w:t>
            </w:r>
          </w:p>
        </w:tc>
        <w:tc>
          <w:tcPr>
            <w:tcW w:w="877" w:type="pct"/>
          </w:tcPr>
          <w:p w14:paraId="2E1DAA35" w14:textId="77777777" w:rsidR="00126E07" w:rsidRPr="002F0252" w:rsidRDefault="00126E07" w:rsidP="0021776E">
            <w:r w:rsidRPr="002F0252">
              <w:t xml:space="preserve">Low level treatment of depression may be </w:t>
            </w:r>
            <w:r w:rsidR="00714EB1" w:rsidRPr="002F0252">
              <w:t>a cost-effective way to improve</w:t>
            </w:r>
            <w:r w:rsidRPr="002F0252">
              <w:t xml:space="preserve"> depression-related outcomes in the US workforce.</w:t>
            </w:r>
          </w:p>
        </w:tc>
        <w:tc>
          <w:tcPr>
            <w:tcW w:w="893" w:type="pct"/>
          </w:tcPr>
          <w:p w14:paraId="4317812E" w14:textId="77777777" w:rsidR="00126E07" w:rsidRPr="002F0252" w:rsidRDefault="00714EB1" w:rsidP="007848D2">
            <w:r w:rsidRPr="002F0252">
              <w:t>Strong</w:t>
            </w:r>
          </w:p>
        </w:tc>
      </w:tr>
      <w:tr w:rsidR="00D427FF" w:rsidRPr="002F0252" w14:paraId="342E916D" w14:textId="77777777" w:rsidTr="0054069F">
        <w:trPr>
          <w:trHeight w:val="3888"/>
        </w:trPr>
        <w:tc>
          <w:tcPr>
            <w:tcW w:w="491" w:type="pct"/>
          </w:tcPr>
          <w:p w14:paraId="2762844A" w14:textId="77777777" w:rsidR="00D427FF" w:rsidRPr="002F0252" w:rsidRDefault="00D427FF" w:rsidP="007848D2">
            <w:r w:rsidRPr="002F0252">
              <w:lastRenderedPageBreak/>
              <w:t>Severe mental illness</w:t>
            </w:r>
          </w:p>
        </w:tc>
        <w:tc>
          <w:tcPr>
            <w:tcW w:w="428" w:type="pct"/>
          </w:tcPr>
          <w:p w14:paraId="0979DB22" w14:textId="77777777" w:rsidR="00D427FF" w:rsidRPr="002F0252" w:rsidRDefault="00D427FF" w:rsidP="007848D2">
            <w:r w:rsidRPr="002F0252">
              <w:t xml:space="preserve">Lo Sasso et al </w:t>
            </w:r>
          </w:p>
        </w:tc>
        <w:tc>
          <w:tcPr>
            <w:tcW w:w="252" w:type="pct"/>
          </w:tcPr>
          <w:p w14:paraId="22D86F6F" w14:textId="77777777" w:rsidR="00D427FF" w:rsidRPr="002F0252" w:rsidRDefault="00D427FF" w:rsidP="007848D2">
            <w:r w:rsidRPr="002F0252">
              <w:t>2006</w:t>
            </w:r>
          </w:p>
        </w:tc>
        <w:tc>
          <w:tcPr>
            <w:tcW w:w="679" w:type="pct"/>
          </w:tcPr>
          <w:p w14:paraId="6437C51F" w14:textId="77777777" w:rsidR="00D427FF" w:rsidRPr="002F0252" w:rsidRDefault="00D427FF" w:rsidP="00D427FF">
            <w:r w:rsidRPr="002F0252">
              <w:t>Many employers will receive a potentially significant ROI from depression treatment models that improve absenteeism and productivity at work.</w:t>
            </w:r>
          </w:p>
        </w:tc>
        <w:tc>
          <w:tcPr>
            <w:tcW w:w="679" w:type="pct"/>
          </w:tcPr>
          <w:p w14:paraId="4A922142" w14:textId="77777777" w:rsidR="00D427FF" w:rsidRPr="002F0252" w:rsidRDefault="00DC37E5" w:rsidP="007848D2">
            <w:r w:rsidRPr="002F0252">
              <w:t>Physician practice training represents a fixed cost of implementing enhanced depression treatment. The author assume there are 10 physician practice sites that must be trained at a one-time cost of $4660 per site. (US dollars in 2006).</w:t>
            </w:r>
          </w:p>
        </w:tc>
        <w:tc>
          <w:tcPr>
            <w:tcW w:w="701" w:type="pct"/>
          </w:tcPr>
          <w:p w14:paraId="6312C980" w14:textId="77777777" w:rsidR="00D427FF" w:rsidRPr="002F0252" w:rsidRDefault="00DC37E5" w:rsidP="007848D2">
            <w:r w:rsidRPr="002F0252">
              <w:t>Using depression treatment methods could realize a return on investment of $1.20 for every $1.00 invested (in the USA in 2006)</w:t>
            </w:r>
          </w:p>
        </w:tc>
        <w:tc>
          <w:tcPr>
            <w:tcW w:w="877" w:type="pct"/>
          </w:tcPr>
          <w:p w14:paraId="62C91C3F" w14:textId="77777777" w:rsidR="00D427FF" w:rsidRPr="002F0252" w:rsidRDefault="00DC37E5" w:rsidP="0021776E">
            <w:r w:rsidRPr="002F0252">
              <w:t>Many employers may receive a potentially meaningful return on investment from enhanced depression treatment which improves absenteeism and productivity at work. The actual return on investment will vary across employers by occupational distributions in the company, by covered partners and by turnover.</w:t>
            </w:r>
          </w:p>
        </w:tc>
        <w:tc>
          <w:tcPr>
            <w:tcW w:w="893" w:type="pct"/>
          </w:tcPr>
          <w:p w14:paraId="584D9A8A" w14:textId="77777777" w:rsidR="00D427FF" w:rsidRPr="002F0252" w:rsidRDefault="00DC37E5" w:rsidP="007848D2">
            <w:r w:rsidRPr="002F0252">
              <w:t>Strong</w:t>
            </w:r>
          </w:p>
        </w:tc>
      </w:tr>
      <w:tr w:rsidR="002610F3" w:rsidRPr="002F0252" w14:paraId="38953C5F" w14:textId="77777777" w:rsidTr="0054069F">
        <w:trPr>
          <w:trHeight w:val="3888"/>
        </w:trPr>
        <w:tc>
          <w:tcPr>
            <w:tcW w:w="491" w:type="pct"/>
          </w:tcPr>
          <w:p w14:paraId="798DCEA6" w14:textId="77777777" w:rsidR="002610F3" w:rsidRPr="002F0252" w:rsidRDefault="002610F3" w:rsidP="002610F3">
            <w:r w:rsidRPr="002F0252">
              <w:lastRenderedPageBreak/>
              <w:t>Severe mental disorders</w:t>
            </w:r>
          </w:p>
        </w:tc>
        <w:tc>
          <w:tcPr>
            <w:tcW w:w="428" w:type="pct"/>
          </w:tcPr>
          <w:p w14:paraId="503D9E28" w14:textId="77777777" w:rsidR="002610F3" w:rsidRPr="002F0252" w:rsidRDefault="002610F3" w:rsidP="002610F3">
            <w:r w:rsidRPr="002F0252">
              <w:t xml:space="preserve">Lammerts et al </w:t>
            </w:r>
          </w:p>
        </w:tc>
        <w:tc>
          <w:tcPr>
            <w:tcW w:w="252" w:type="pct"/>
          </w:tcPr>
          <w:p w14:paraId="66E93514" w14:textId="77777777" w:rsidR="002610F3" w:rsidRPr="002F0252" w:rsidRDefault="002610F3" w:rsidP="002610F3">
            <w:r w:rsidRPr="002F0252">
              <w:t>2017</w:t>
            </w:r>
          </w:p>
        </w:tc>
        <w:tc>
          <w:tcPr>
            <w:tcW w:w="679" w:type="pct"/>
          </w:tcPr>
          <w:p w14:paraId="1BA62439" w14:textId="77777777" w:rsidR="002610F3" w:rsidRPr="002F0252" w:rsidRDefault="002610F3" w:rsidP="002610F3">
            <w:r w:rsidRPr="002F0252">
              <w:t xml:space="preserve">A participatory supportive return to work </w:t>
            </w:r>
            <w:r w:rsidR="00E754ED" w:rsidRPr="002F0252">
              <w:t>programme</w:t>
            </w:r>
            <w:r w:rsidRPr="002F0252">
              <w:t xml:space="preserve"> for workers without an employment contract, sick-listed due to a common mental disorder was not cost-effective and could not be supported by the Dutch social security sector for economic reasons.</w:t>
            </w:r>
          </w:p>
        </w:tc>
        <w:tc>
          <w:tcPr>
            <w:tcW w:w="679" w:type="pct"/>
          </w:tcPr>
          <w:p w14:paraId="4FC85E05" w14:textId="77777777" w:rsidR="002610F3" w:rsidRPr="002F0252" w:rsidRDefault="002610F3" w:rsidP="002610F3">
            <w:r w:rsidRPr="002F0252">
              <w:t>For QALYs, an ICER of –Euro125, 357 was found, indicating that a QALY lost was associated with a societal cost of Euro125,357 (Euros in 2017).</w:t>
            </w:r>
          </w:p>
        </w:tc>
        <w:tc>
          <w:tcPr>
            <w:tcW w:w="701" w:type="pct"/>
          </w:tcPr>
          <w:p w14:paraId="54CBD250" w14:textId="77777777" w:rsidR="002610F3" w:rsidRPr="002F0252" w:rsidRDefault="002610F3" w:rsidP="002610F3">
            <w:r w:rsidRPr="002F0252">
              <w:t>Cost utility analysis found that the intervention was less effective and more costly than no intervention.</w:t>
            </w:r>
          </w:p>
        </w:tc>
        <w:tc>
          <w:tcPr>
            <w:tcW w:w="877" w:type="pct"/>
          </w:tcPr>
          <w:p w14:paraId="2A502181" w14:textId="77777777" w:rsidR="002610F3" w:rsidRPr="002F0252" w:rsidRDefault="002610F3" w:rsidP="002610F3">
            <w:r w:rsidRPr="002F0252">
              <w:t xml:space="preserve">As there was a loss of 278% per Euro invested, the return to work </w:t>
            </w:r>
            <w:r w:rsidR="00E754ED" w:rsidRPr="002F0252">
              <w:t>programme</w:t>
            </w:r>
            <w:r w:rsidRPr="002F0252">
              <w:t xml:space="preserve"> was not cost-effective and could not be supported for economic reasons. </w:t>
            </w:r>
          </w:p>
        </w:tc>
        <w:tc>
          <w:tcPr>
            <w:tcW w:w="893" w:type="pct"/>
          </w:tcPr>
          <w:p w14:paraId="5F220E8E" w14:textId="77777777" w:rsidR="002610F3" w:rsidRPr="002F0252" w:rsidRDefault="002610F3" w:rsidP="002610F3">
            <w:r w:rsidRPr="002F0252">
              <w:t>Strong</w:t>
            </w:r>
          </w:p>
        </w:tc>
      </w:tr>
      <w:tr w:rsidR="002610F3" w:rsidRPr="002F0252" w14:paraId="5EFCD446" w14:textId="77777777" w:rsidTr="0054069F">
        <w:trPr>
          <w:trHeight w:val="3888"/>
        </w:trPr>
        <w:tc>
          <w:tcPr>
            <w:tcW w:w="491" w:type="pct"/>
          </w:tcPr>
          <w:p w14:paraId="5039D9BC" w14:textId="77777777" w:rsidR="002610F3" w:rsidRPr="002F0252" w:rsidRDefault="002610F3" w:rsidP="002610F3">
            <w:r w:rsidRPr="002F0252">
              <w:lastRenderedPageBreak/>
              <w:t>Severe mental illness</w:t>
            </w:r>
          </w:p>
        </w:tc>
        <w:tc>
          <w:tcPr>
            <w:tcW w:w="428" w:type="pct"/>
          </w:tcPr>
          <w:p w14:paraId="5662D73D" w14:textId="77777777" w:rsidR="002610F3" w:rsidRPr="002F0252" w:rsidRDefault="002610F3" w:rsidP="002610F3">
            <w:r w:rsidRPr="002F0252">
              <w:t>Reeves et al</w:t>
            </w:r>
          </w:p>
        </w:tc>
        <w:tc>
          <w:tcPr>
            <w:tcW w:w="252" w:type="pct"/>
          </w:tcPr>
          <w:p w14:paraId="28E8261D" w14:textId="77777777" w:rsidR="002610F3" w:rsidRPr="002F0252" w:rsidRDefault="002610F3" w:rsidP="002610F3">
            <w:r w:rsidRPr="002F0252">
              <w:t>2017</w:t>
            </w:r>
          </w:p>
        </w:tc>
        <w:tc>
          <w:tcPr>
            <w:tcW w:w="679" w:type="pct"/>
          </w:tcPr>
          <w:p w14:paraId="6D0AF00A" w14:textId="77777777" w:rsidR="002610F3" w:rsidRPr="002F0252" w:rsidRDefault="002610F3" w:rsidP="002610F3">
            <w:r w:rsidRPr="002F0252">
              <w:t>An introduction of a national minimum wage in the UK reduced depressive symptoms in low-wage workers.</w:t>
            </w:r>
          </w:p>
        </w:tc>
        <w:tc>
          <w:tcPr>
            <w:tcW w:w="679" w:type="pct"/>
          </w:tcPr>
          <w:p w14:paraId="57A790BD" w14:textId="77777777" w:rsidR="002610F3" w:rsidRPr="002F0252" w:rsidRDefault="002610F3" w:rsidP="002610F3">
            <w:r w:rsidRPr="002F0252">
              <w:t>In 1999, the UK government implemented minimum wage legislation, increasing hourly wages to at least £3.60 (in 1999, UK GBP),</w:t>
            </w:r>
          </w:p>
        </w:tc>
        <w:tc>
          <w:tcPr>
            <w:tcW w:w="701" w:type="pct"/>
          </w:tcPr>
          <w:p w14:paraId="52688C15" w14:textId="77777777" w:rsidR="002610F3" w:rsidRPr="002F0252" w:rsidRDefault="002610F3" w:rsidP="002610F3">
            <w:r w:rsidRPr="002F0252">
              <w:t>The intervention group whose wages rose about the minimum wage, experience lower probability of mental ill health compared with both control groups in the study.</w:t>
            </w:r>
          </w:p>
        </w:tc>
        <w:tc>
          <w:tcPr>
            <w:tcW w:w="877" w:type="pct"/>
          </w:tcPr>
          <w:p w14:paraId="0FD2F146" w14:textId="77777777" w:rsidR="002610F3" w:rsidRPr="002F0252" w:rsidRDefault="002610F3" w:rsidP="002610F3">
            <w:r w:rsidRPr="002F0252">
              <w:t>Increasing wages significantly improves mental health by reducing financial strain in low-wage earners.</w:t>
            </w:r>
          </w:p>
        </w:tc>
        <w:tc>
          <w:tcPr>
            <w:tcW w:w="893" w:type="pct"/>
          </w:tcPr>
          <w:p w14:paraId="2A7ED6A2" w14:textId="77777777" w:rsidR="002610F3" w:rsidRPr="002F0252" w:rsidRDefault="002610F3" w:rsidP="002610F3">
            <w:r w:rsidRPr="002F0252">
              <w:t>Strong</w:t>
            </w:r>
          </w:p>
        </w:tc>
      </w:tr>
      <w:tr w:rsidR="002610F3" w:rsidRPr="002F0252" w14:paraId="175FF6CE" w14:textId="77777777" w:rsidTr="0054069F">
        <w:trPr>
          <w:trHeight w:val="3888"/>
        </w:trPr>
        <w:tc>
          <w:tcPr>
            <w:tcW w:w="491" w:type="pct"/>
          </w:tcPr>
          <w:p w14:paraId="24686FF3" w14:textId="77777777" w:rsidR="002610F3" w:rsidRPr="002F0252" w:rsidRDefault="002610F3" w:rsidP="002610F3">
            <w:r w:rsidRPr="002F0252">
              <w:lastRenderedPageBreak/>
              <w:t>Minor mental disorders</w:t>
            </w:r>
          </w:p>
        </w:tc>
        <w:tc>
          <w:tcPr>
            <w:tcW w:w="428" w:type="pct"/>
          </w:tcPr>
          <w:p w14:paraId="559B940B" w14:textId="77777777" w:rsidR="002610F3" w:rsidRPr="002F0252" w:rsidRDefault="002610F3" w:rsidP="002610F3">
            <w:r w:rsidRPr="002F0252">
              <w:t xml:space="preserve">Brouwers et al </w:t>
            </w:r>
          </w:p>
        </w:tc>
        <w:tc>
          <w:tcPr>
            <w:tcW w:w="252" w:type="pct"/>
          </w:tcPr>
          <w:p w14:paraId="4C8B50DF" w14:textId="77777777" w:rsidR="002610F3" w:rsidRPr="002F0252" w:rsidRDefault="002610F3" w:rsidP="002610F3">
            <w:r w:rsidRPr="002F0252">
              <w:t>2007</w:t>
            </w:r>
          </w:p>
        </w:tc>
        <w:tc>
          <w:tcPr>
            <w:tcW w:w="679" w:type="pct"/>
          </w:tcPr>
          <w:p w14:paraId="17AA63EA" w14:textId="77777777" w:rsidR="002610F3" w:rsidRPr="002F0252" w:rsidRDefault="002610F3" w:rsidP="002610F3">
            <w:r w:rsidRPr="002F0252">
              <w:t>Further implementation of an activating intervention by social workers for patients with minor mental disorders on sick leave is not justified.</w:t>
            </w:r>
          </w:p>
        </w:tc>
        <w:tc>
          <w:tcPr>
            <w:tcW w:w="679" w:type="pct"/>
          </w:tcPr>
          <w:p w14:paraId="7EC7C6DF" w14:textId="77777777" w:rsidR="002610F3" w:rsidRPr="002F0252" w:rsidRDefault="002610F3" w:rsidP="002610F3">
            <w:r w:rsidRPr="002F0252">
              <w:t>Health care costs amounted to Euros 636 in the intervention group and Euros 547 in the control group, resulting in a small and not statistically significant cost difference of Euros 89 (in 2007).</w:t>
            </w:r>
          </w:p>
        </w:tc>
        <w:tc>
          <w:tcPr>
            <w:tcW w:w="701" w:type="pct"/>
          </w:tcPr>
          <w:p w14:paraId="5125420F" w14:textId="77777777" w:rsidR="002610F3" w:rsidRPr="002F0252" w:rsidRDefault="002610F3" w:rsidP="002610F3">
            <w:r w:rsidRPr="002F0252">
              <w:t xml:space="preserve">The cost saving due to the primary care intervention </w:t>
            </w:r>
            <w:r w:rsidR="00E754ED" w:rsidRPr="002F0252">
              <w:t>programme</w:t>
            </w:r>
            <w:r w:rsidRPr="002F0252">
              <w:t xml:space="preserve"> was not significant. Sick leave costs amounted to a mean of Euros 13,721 in the intervention group and Euros 13,993 in the control group.</w:t>
            </w:r>
          </w:p>
        </w:tc>
        <w:tc>
          <w:tcPr>
            <w:tcW w:w="877" w:type="pct"/>
          </w:tcPr>
          <w:p w14:paraId="1D642CC4" w14:textId="77777777" w:rsidR="002610F3" w:rsidRPr="002F0252" w:rsidRDefault="002610F3" w:rsidP="002610F3">
            <w:r w:rsidRPr="002F0252">
              <w:t>The intervention was not cost-effective compared to usual care.</w:t>
            </w:r>
          </w:p>
        </w:tc>
        <w:tc>
          <w:tcPr>
            <w:tcW w:w="893" w:type="pct"/>
          </w:tcPr>
          <w:p w14:paraId="27162396" w14:textId="77777777" w:rsidR="002610F3" w:rsidRPr="002F0252" w:rsidRDefault="002610F3" w:rsidP="002610F3">
            <w:r w:rsidRPr="002F0252">
              <w:t>Strong</w:t>
            </w:r>
          </w:p>
        </w:tc>
      </w:tr>
      <w:tr w:rsidR="002610F3" w:rsidRPr="002F0252" w14:paraId="26E47AEB" w14:textId="77777777" w:rsidTr="0054069F">
        <w:trPr>
          <w:trHeight w:val="3888"/>
        </w:trPr>
        <w:tc>
          <w:tcPr>
            <w:tcW w:w="491" w:type="pct"/>
          </w:tcPr>
          <w:p w14:paraId="578BF0FC" w14:textId="77777777" w:rsidR="002610F3" w:rsidRPr="002F0252" w:rsidRDefault="002610F3" w:rsidP="002610F3">
            <w:r w:rsidRPr="002F0252">
              <w:lastRenderedPageBreak/>
              <w:t>Minor mental disorders</w:t>
            </w:r>
          </w:p>
        </w:tc>
        <w:tc>
          <w:tcPr>
            <w:tcW w:w="428" w:type="pct"/>
          </w:tcPr>
          <w:p w14:paraId="2EA8DD92" w14:textId="77777777" w:rsidR="002610F3" w:rsidRPr="002F0252" w:rsidRDefault="00000099" w:rsidP="002610F3">
            <w:r w:rsidRPr="002F0252">
              <w:t>Il</w:t>
            </w:r>
            <w:r w:rsidR="002610F3" w:rsidRPr="002F0252">
              <w:t xml:space="preserve">jima et al </w:t>
            </w:r>
          </w:p>
        </w:tc>
        <w:tc>
          <w:tcPr>
            <w:tcW w:w="252" w:type="pct"/>
          </w:tcPr>
          <w:p w14:paraId="1F4904B4" w14:textId="77777777" w:rsidR="002610F3" w:rsidRPr="002F0252" w:rsidRDefault="002610F3" w:rsidP="002610F3">
            <w:r w:rsidRPr="002F0252">
              <w:t>2013</w:t>
            </w:r>
          </w:p>
        </w:tc>
        <w:tc>
          <w:tcPr>
            <w:tcW w:w="679" w:type="pct"/>
          </w:tcPr>
          <w:p w14:paraId="4F463EFD" w14:textId="77777777" w:rsidR="002610F3" w:rsidRPr="002F0252" w:rsidRDefault="002610F3" w:rsidP="002610F3">
            <w:r w:rsidRPr="002F0252">
              <w:t xml:space="preserve">Mental health prevention </w:t>
            </w:r>
            <w:r w:rsidR="00E754ED" w:rsidRPr="002F0252">
              <w:t>programme</w:t>
            </w:r>
            <w:r w:rsidRPr="002F0252">
              <w:t xml:space="preserve">s may provide a net benefit for companies. </w:t>
            </w:r>
          </w:p>
        </w:tc>
        <w:tc>
          <w:tcPr>
            <w:tcW w:w="679" w:type="pct"/>
          </w:tcPr>
          <w:p w14:paraId="54EB4255" w14:textId="77777777" w:rsidR="002610F3" w:rsidRPr="002F0252" w:rsidRDefault="002610F3" w:rsidP="002610F3">
            <w:r w:rsidRPr="002F0252">
              <w:t xml:space="preserve">The </w:t>
            </w:r>
            <w:r w:rsidR="00E754ED" w:rsidRPr="002F0252">
              <w:t>programme</w:t>
            </w:r>
            <w:r w:rsidRPr="002F0252">
              <w:t>’s average cost was 12,608 yen per employee and the total benefit was 19.530 yen per employee.</w:t>
            </w:r>
          </w:p>
        </w:tc>
        <w:tc>
          <w:tcPr>
            <w:tcW w:w="701" w:type="pct"/>
          </w:tcPr>
          <w:p w14:paraId="605C8939" w14:textId="77777777" w:rsidR="002610F3" w:rsidRPr="002F0252" w:rsidRDefault="002610F3" w:rsidP="002610F3">
            <w:r w:rsidRPr="002F0252">
              <w:t>The net benefit per employee was 6,921 yen and the return on investment was in the range of 0.27-16.85.</w:t>
            </w:r>
          </w:p>
        </w:tc>
        <w:tc>
          <w:tcPr>
            <w:tcW w:w="877" w:type="pct"/>
          </w:tcPr>
          <w:p w14:paraId="59094172" w14:textId="77777777" w:rsidR="002610F3" w:rsidRPr="002F0252" w:rsidRDefault="002610F3" w:rsidP="002610F3">
            <w:r w:rsidRPr="002F0252">
              <w:t xml:space="preserve">Mental health prevention </w:t>
            </w:r>
            <w:r w:rsidR="00E754ED" w:rsidRPr="002F0252">
              <w:t>programme</w:t>
            </w:r>
            <w:r w:rsidRPr="002F0252">
              <w:t>s may provide a net benefit for companies.</w:t>
            </w:r>
          </w:p>
        </w:tc>
        <w:tc>
          <w:tcPr>
            <w:tcW w:w="893" w:type="pct"/>
          </w:tcPr>
          <w:p w14:paraId="5320A847" w14:textId="77777777" w:rsidR="002610F3" w:rsidRPr="002F0252" w:rsidRDefault="00000099" w:rsidP="002610F3">
            <w:r w:rsidRPr="002F0252">
              <w:t>Moderate (pilot study only)</w:t>
            </w:r>
          </w:p>
        </w:tc>
      </w:tr>
      <w:tr w:rsidR="002610F3" w:rsidRPr="002F0252" w14:paraId="5CBA8CCB" w14:textId="77777777" w:rsidTr="0054069F">
        <w:trPr>
          <w:trHeight w:val="3888"/>
        </w:trPr>
        <w:tc>
          <w:tcPr>
            <w:tcW w:w="491" w:type="pct"/>
          </w:tcPr>
          <w:p w14:paraId="264C5C05" w14:textId="77777777" w:rsidR="002610F3" w:rsidRPr="002F0252" w:rsidRDefault="002610F3" w:rsidP="002610F3">
            <w:r w:rsidRPr="002F0252">
              <w:lastRenderedPageBreak/>
              <w:t>Minor mental disorders</w:t>
            </w:r>
          </w:p>
        </w:tc>
        <w:tc>
          <w:tcPr>
            <w:tcW w:w="428" w:type="pct"/>
          </w:tcPr>
          <w:p w14:paraId="5A72ECB4" w14:textId="77777777" w:rsidR="002610F3" w:rsidRPr="002F0252" w:rsidRDefault="002610F3" w:rsidP="002610F3">
            <w:r w:rsidRPr="002F0252">
              <w:t xml:space="preserve">Veerman et al </w:t>
            </w:r>
          </w:p>
        </w:tc>
        <w:tc>
          <w:tcPr>
            <w:tcW w:w="252" w:type="pct"/>
          </w:tcPr>
          <w:p w14:paraId="05EF9AC6" w14:textId="77777777" w:rsidR="002610F3" w:rsidRPr="002F0252" w:rsidRDefault="002610F3" w:rsidP="002610F3">
            <w:r w:rsidRPr="002F0252">
              <w:t>2015</w:t>
            </w:r>
          </w:p>
        </w:tc>
        <w:tc>
          <w:tcPr>
            <w:tcW w:w="679" w:type="pct"/>
          </w:tcPr>
          <w:p w14:paraId="54114830" w14:textId="77777777" w:rsidR="002610F3" w:rsidRPr="002F0252" w:rsidRDefault="002610F3" w:rsidP="002610F3">
            <w:r w:rsidRPr="002F0252">
              <w:t>Group therapy is estimated to prevent around 5,200 prevalent cases of depression in the Australian workforce.</w:t>
            </w:r>
          </w:p>
        </w:tc>
        <w:tc>
          <w:tcPr>
            <w:tcW w:w="679" w:type="pct"/>
          </w:tcPr>
          <w:p w14:paraId="360B445C" w14:textId="77777777" w:rsidR="002610F3" w:rsidRPr="002F0252" w:rsidRDefault="002610F3" w:rsidP="002610F3">
            <w:r w:rsidRPr="002F0252">
              <w:t>The income difference between those in the labour force without depression and those not in the labour force with depression in Australia in 2010 was around $48,000 Australian dollars for men aged 45-54 years and $28,200 for women of the same age group.</w:t>
            </w:r>
          </w:p>
        </w:tc>
        <w:tc>
          <w:tcPr>
            <w:tcW w:w="701" w:type="pct"/>
          </w:tcPr>
          <w:p w14:paraId="694A5EFA" w14:textId="77777777" w:rsidR="002610F3" w:rsidRPr="002F0252" w:rsidRDefault="002610F3" w:rsidP="002610F3">
            <w:r w:rsidRPr="002F0252">
              <w:t xml:space="preserve">Those able to remain in the workforce as a result of a prevention of depression </w:t>
            </w:r>
            <w:r w:rsidR="00E754ED" w:rsidRPr="002F0252">
              <w:t>programme</w:t>
            </w:r>
            <w:r w:rsidRPr="002F0252">
              <w:t xml:space="preserve"> would earn between $28,000 and $48,000 Australian dollars (in 2010) more per year and net government revenues would increase by around $5million.</w:t>
            </w:r>
          </w:p>
        </w:tc>
        <w:tc>
          <w:tcPr>
            <w:tcW w:w="877" w:type="pct"/>
          </w:tcPr>
          <w:p w14:paraId="652A89B0" w14:textId="77777777" w:rsidR="002610F3" w:rsidRPr="002F0252" w:rsidRDefault="002610F3" w:rsidP="002610F3">
            <w:r w:rsidRPr="002F0252">
              <w:t>Group-based psychological intervention to percent depression could result in considerable economic benefits in addition to its clinical effects.</w:t>
            </w:r>
          </w:p>
        </w:tc>
        <w:tc>
          <w:tcPr>
            <w:tcW w:w="893" w:type="pct"/>
          </w:tcPr>
          <w:p w14:paraId="2BF12238" w14:textId="77777777" w:rsidR="002610F3" w:rsidRPr="002F0252" w:rsidRDefault="002610F3" w:rsidP="002610F3">
            <w:r w:rsidRPr="002F0252">
              <w:t>Strong</w:t>
            </w:r>
          </w:p>
        </w:tc>
      </w:tr>
    </w:tbl>
    <w:p w14:paraId="7BB82866" w14:textId="77777777" w:rsidR="009B357B" w:rsidRPr="002F0252" w:rsidRDefault="009B357B" w:rsidP="00556C47"/>
    <w:p w14:paraId="62F2DD65" w14:textId="77777777" w:rsidR="00D7729D" w:rsidRPr="002F0252" w:rsidRDefault="00D7729D">
      <w:r w:rsidRPr="002F0252">
        <w:br w:type="page"/>
      </w:r>
    </w:p>
    <w:p w14:paraId="1A244DC6" w14:textId="77777777" w:rsidR="00D7729D" w:rsidRPr="002F0252" w:rsidRDefault="00D7729D" w:rsidP="00556C47"/>
    <w:p w14:paraId="7DC875D9" w14:textId="1192E909" w:rsidR="00D7729D" w:rsidRPr="002F0252" w:rsidRDefault="00D7729D" w:rsidP="00556C47">
      <w:pPr>
        <w:rPr>
          <w:b/>
        </w:rPr>
      </w:pPr>
      <w:r w:rsidRPr="00FA0FFF">
        <w:rPr>
          <w:b/>
        </w:rPr>
        <w:t xml:space="preserve">Table </w:t>
      </w:r>
      <w:r w:rsidR="00880431">
        <w:rPr>
          <w:b/>
        </w:rPr>
        <w:t>4.</w:t>
      </w:r>
      <w:r w:rsidRPr="00FA0FFF">
        <w:rPr>
          <w:b/>
        </w:rPr>
        <w:t xml:space="preserve">8 </w:t>
      </w:r>
      <w:r w:rsidRPr="00FA0FFF">
        <w:rPr>
          <w:b/>
        </w:rPr>
        <w:tab/>
        <w:t>Interventions to reduce work disability related to musculoskeletal disorders</w:t>
      </w:r>
    </w:p>
    <w:p w14:paraId="0E5E0CA2" w14:textId="77777777" w:rsidR="00D7729D" w:rsidRPr="002F0252" w:rsidRDefault="00D7729D" w:rsidP="00556C47">
      <w:pPr>
        <w:rPr>
          <w:b/>
        </w:rPr>
      </w:pPr>
    </w:p>
    <w:tbl>
      <w:tblPr>
        <w:tblStyle w:val="TableGrid"/>
        <w:tblW w:w="5000" w:type="pct"/>
        <w:tblLook w:val="04A0" w:firstRow="1" w:lastRow="0" w:firstColumn="1" w:lastColumn="0" w:noHBand="0" w:noVBand="1"/>
      </w:tblPr>
      <w:tblGrid>
        <w:gridCol w:w="1806"/>
        <w:gridCol w:w="1294"/>
        <w:gridCol w:w="703"/>
        <w:gridCol w:w="1882"/>
        <w:gridCol w:w="1789"/>
        <w:gridCol w:w="1612"/>
        <w:gridCol w:w="2431"/>
        <w:gridCol w:w="2431"/>
      </w:tblGrid>
      <w:tr w:rsidR="00883042" w:rsidRPr="002F0252" w14:paraId="08C31A95" w14:textId="77777777" w:rsidTr="009925DF">
        <w:tc>
          <w:tcPr>
            <w:tcW w:w="647" w:type="pct"/>
          </w:tcPr>
          <w:p w14:paraId="49174DA3" w14:textId="77777777" w:rsidR="00883042" w:rsidRPr="002F0252" w:rsidRDefault="00883042" w:rsidP="004B4BBB">
            <w:pPr>
              <w:rPr>
                <w:b/>
              </w:rPr>
            </w:pPr>
            <w:r w:rsidRPr="002F0252">
              <w:rPr>
                <w:b/>
              </w:rPr>
              <w:t>Category of Initiative</w:t>
            </w:r>
          </w:p>
        </w:tc>
        <w:tc>
          <w:tcPr>
            <w:tcW w:w="434" w:type="pct"/>
          </w:tcPr>
          <w:p w14:paraId="1E0A3531" w14:textId="77777777" w:rsidR="00883042" w:rsidRPr="002F0252" w:rsidRDefault="00883042" w:rsidP="004B4BBB">
            <w:pPr>
              <w:rPr>
                <w:b/>
              </w:rPr>
            </w:pPr>
            <w:r w:rsidRPr="002F0252">
              <w:rPr>
                <w:b/>
              </w:rPr>
              <w:t>Author</w:t>
            </w:r>
          </w:p>
        </w:tc>
        <w:tc>
          <w:tcPr>
            <w:tcW w:w="252" w:type="pct"/>
          </w:tcPr>
          <w:p w14:paraId="08A75D84" w14:textId="77777777" w:rsidR="00883042" w:rsidRPr="002F0252" w:rsidRDefault="00883042" w:rsidP="004B4BBB">
            <w:pPr>
              <w:rPr>
                <w:b/>
              </w:rPr>
            </w:pPr>
            <w:r w:rsidRPr="002F0252">
              <w:rPr>
                <w:b/>
              </w:rPr>
              <w:t xml:space="preserve">Date </w:t>
            </w:r>
          </w:p>
        </w:tc>
        <w:tc>
          <w:tcPr>
            <w:tcW w:w="682" w:type="pct"/>
          </w:tcPr>
          <w:p w14:paraId="17BB33B9" w14:textId="77777777" w:rsidR="00883042" w:rsidRPr="002F0252" w:rsidRDefault="00883042" w:rsidP="004B4BBB">
            <w:pPr>
              <w:rPr>
                <w:b/>
              </w:rPr>
            </w:pPr>
            <w:r w:rsidRPr="002F0252">
              <w:rPr>
                <w:b/>
              </w:rPr>
              <w:t>Main finding</w:t>
            </w:r>
          </w:p>
        </w:tc>
        <w:tc>
          <w:tcPr>
            <w:tcW w:w="649" w:type="pct"/>
          </w:tcPr>
          <w:p w14:paraId="03BBFE7A" w14:textId="77777777" w:rsidR="00883042" w:rsidRPr="002F0252" w:rsidRDefault="00883042" w:rsidP="004B4BBB">
            <w:pPr>
              <w:rPr>
                <w:b/>
              </w:rPr>
            </w:pPr>
            <w:r w:rsidRPr="002F0252">
              <w:rPr>
                <w:b/>
              </w:rPr>
              <w:t>Cost implication</w:t>
            </w:r>
          </w:p>
        </w:tc>
        <w:tc>
          <w:tcPr>
            <w:tcW w:w="578" w:type="pct"/>
          </w:tcPr>
          <w:p w14:paraId="5E1E3F9F" w14:textId="77777777" w:rsidR="00883042" w:rsidRPr="002F0252" w:rsidRDefault="00883042" w:rsidP="004B4BBB">
            <w:pPr>
              <w:rPr>
                <w:b/>
              </w:rPr>
            </w:pPr>
            <w:r w:rsidRPr="002F0252">
              <w:rPr>
                <w:b/>
              </w:rPr>
              <w:t xml:space="preserve">Cost saving </w:t>
            </w:r>
          </w:p>
        </w:tc>
        <w:tc>
          <w:tcPr>
            <w:tcW w:w="879" w:type="pct"/>
          </w:tcPr>
          <w:p w14:paraId="497BA488" w14:textId="77777777" w:rsidR="00883042" w:rsidRPr="002F0252" w:rsidRDefault="00883042" w:rsidP="004B4BBB">
            <w:pPr>
              <w:rPr>
                <w:b/>
              </w:rPr>
            </w:pPr>
            <w:r w:rsidRPr="002F0252">
              <w:rPr>
                <w:b/>
              </w:rPr>
              <w:t>Recommendation</w:t>
            </w:r>
          </w:p>
          <w:p w14:paraId="2763D338" w14:textId="77777777" w:rsidR="00883042" w:rsidRPr="002F0252" w:rsidRDefault="00883042" w:rsidP="004B4BBB">
            <w:pPr>
              <w:ind w:firstLine="720"/>
            </w:pPr>
          </w:p>
        </w:tc>
        <w:tc>
          <w:tcPr>
            <w:tcW w:w="879" w:type="pct"/>
          </w:tcPr>
          <w:p w14:paraId="3BAACEB4" w14:textId="77777777" w:rsidR="00883042" w:rsidRPr="002F0252" w:rsidRDefault="00883042" w:rsidP="004B4BBB">
            <w:pPr>
              <w:rPr>
                <w:b/>
              </w:rPr>
            </w:pPr>
            <w:r w:rsidRPr="002F0252">
              <w:rPr>
                <w:b/>
              </w:rPr>
              <w:t>Strength of evidence</w:t>
            </w:r>
          </w:p>
          <w:p w14:paraId="22C8B48C" w14:textId="77777777" w:rsidR="00883042" w:rsidRPr="002F0252" w:rsidRDefault="00883042" w:rsidP="004B4BBB">
            <w:pPr>
              <w:rPr>
                <w:b/>
              </w:rPr>
            </w:pPr>
            <w:r w:rsidRPr="002F0252">
              <w:rPr>
                <w:b/>
              </w:rPr>
              <w:t>(weak, moderate, strong)</w:t>
            </w:r>
          </w:p>
        </w:tc>
      </w:tr>
      <w:tr w:rsidR="00883042" w:rsidRPr="002F0252" w14:paraId="78529224" w14:textId="77777777" w:rsidTr="009925DF">
        <w:tc>
          <w:tcPr>
            <w:tcW w:w="647" w:type="pct"/>
          </w:tcPr>
          <w:p w14:paraId="3FDF70B0" w14:textId="77777777" w:rsidR="00883042" w:rsidRPr="002F0252" w:rsidRDefault="00883042" w:rsidP="009925DF">
            <w:r w:rsidRPr="002F0252">
              <w:t>Musculoskeletal disorders</w:t>
            </w:r>
          </w:p>
        </w:tc>
        <w:tc>
          <w:tcPr>
            <w:tcW w:w="434" w:type="pct"/>
          </w:tcPr>
          <w:p w14:paraId="79F2F05E" w14:textId="77777777" w:rsidR="00883042" w:rsidRPr="002F0252" w:rsidRDefault="00883042" w:rsidP="009925DF">
            <w:r w:rsidRPr="002F0252">
              <w:t>Abaisolo et al</w:t>
            </w:r>
          </w:p>
        </w:tc>
        <w:tc>
          <w:tcPr>
            <w:tcW w:w="252" w:type="pct"/>
          </w:tcPr>
          <w:p w14:paraId="77FC3D95" w14:textId="77777777" w:rsidR="00883042" w:rsidRPr="002F0252" w:rsidRDefault="00883042" w:rsidP="009925DF">
            <w:r w:rsidRPr="002F0252">
              <w:t>2005</w:t>
            </w:r>
          </w:p>
        </w:tc>
        <w:tc>
          <w:tcPr>
            <w:tcW w:w="682" w:type="pct"/>
          </w:tcPr>
          <w:p w14:paraId="22D36BA6" w14:textId="77777777" w:rsidR="00883042" w:rsidRPr="002F0252" w:rsidRDefault="00883042" w:rsidP="009925DF">
            <w:r w:rsidRPr="002F0252">
              <w:t xml:space="preserve">The intervention group received a specific programme, administered by rheumatologists, in which care was delivered during regular visits and included 3 main elements: education, protocol-based clinical management, and administrative duties. Implementation of the programme, </w:t>
            </w:r>
            <w:r w:rsidRPr="002F0252">
              <w:lastRenderedPageBreak/>
              <w:t>offered to the general population, improves short- and long-term work disability outcomes and is cost-effective.</w:t>
            </w:r>
          </w:p>
        </w:tc>
        <w:tc>
          <w:tcPr>
            <w:tcW w:w="649" w:type="pct"/>
          </w:tcPr>
          <w:p w14:paraId="23D59626" w14:textId="77777777" w:rsidR="00883042" w:rsidRPr="002F0252" w:rsidRDefault="00883042" w:rsidP="009925DF"/>
        </w:tc>
        <w:tc>
          <w:tcPr>
            <w:tcW w:w="578" w:type="pct"/>
          </w:tcPr>
          <w:p w14:paraId="53EDF749" w14:textId="77777777" w:rsidR="00883042" w:rsidRPr="002F0252" w:rsidRDefault="00883042" w:rsidP="009925DF">
            <w:r w:rsidRPr="002F0252">
              <w:t>To save 1 day of temporary work disability, $6.00 had to be invested in the programme. Each dollar invested generated a benefit of $11.00. The programme's net benefit was in excess of $5 million.</w:t>
            </w:r>
          </w:p>
        </w:tc>
        <w:tc>
          <w:tcPr>
            <w:tcW w:w="879" w:type="pct"/>
          </w:tcPr>
          <w:p w14:paraId="6B34904C" w14:textId="77777777" w:rsidR="00883042" w:rsidRPr="002F0252" w:rsidRDefault="00883042" w:rsidP="009925DF">
            <w:r w:rsidRPr="002F0252">
              <w:t>The authors recommended that the intervention programme was cost</w:t>
            </w:r>
            <w:r w:rsidR="00BE5D20" w:rsidRPr="002F0252">
              <w:t>-</w:t>
            </w:r>
            <w:r w:rsidRPr="002F0252">
              <w:t>effective.</w:t>
            </w:r>
          </w:p>
        </w:tc>
        <w:tc>
          <w:tcPr>
            <w:tcW w:w="879" w:type="pct"/>
          </w:tcPr>
          <w:p w14:paraId="5A909936" w14:textId="77777777" w:rsidR="00883042" w:rsidRPr="002F0252" w:rsidRDefault="00883042" w:rsidP="009925DF">
            <w:r w:rsidRPr="002F0252">
              <w:t>Strong</w:t>
            </w:r>
          </w:p>
        </w:tc>
      </w:tr>
      <w:tr w:rsidR="00883042" w:rsidRPr="002F0252" w14:paraId="14038F64" w14:textId="77777777" w:rsidTr="009925DF">
        <w:tc>
          <w:tcPr>
            <w:tcW w:w="647" w:type="pct"/>
          </w:tcPr>
          <w:p w14:paraId="12BD7401" w14:textId="77777777" w:rsidR="00883042" w:rsidRPr="002F0252" w:rsidRDefault="00883042" w:rsidP="009925DF">
            <w:r w:rsidRPr="002F0252">
              <w:t>Muskuloskeletal disorders</w:t>
            </w:r>
          </w:p>
        </w:tc>
        <w:tc>
          <w:tcPr>
            <w:tcW w:w="434" w:type="pct"/>
          </w:tcPr>
          <w:p w14:paraId="091806D6" w14:textId="77777777" w:rsidR="00883042" w:rsidRPr="002F0252" w:rsidRDefault="00883042" w:rsidP="009925DF">
            <w:r w:rsidRPr="002F0252">
              <w:t xml:space="preserve">Ektor-Andersen et al </w:t>
            </w:r>
          </w:p>
        </w:tc>
        <w:tc>
          <w:tcPr>
            <w:tcW w:w="252" w:type="pct"/>
          </w:tcPr>
          <w:p w14:paraId="79CAE341" w14:textId="77777777" w:rsidR="00883042" w:rsidRPr="002F0252" w:rsidRDefault="00883042" w:rsidP="009925DF">
            <w:r w:rsidRPr="002F0252">
              <w:t>2008</w:t>
            </w:r>
          </w:p>
        </w:tc>
        <w:tc>
          <w:tcPr>
            <w:tcW w:w="682" w:type="pct"/>
          </w:tcPr>
          <w:p w14:paraId="777D388F" w14:textId="77777777" w:rsidR="00883042" w:rsidRPr="002F0252" w:rsidRDefault="00883042" w:rsidP="009925DF">
            <w:r w:rsidRPr="002F0252">
              <w:t>A Cognitive Behavioural intervention (CBT) reduced the number of sickness days compared to usual treatment of spells of musculoskeletal pain in the primary care setting.</w:t>
            </w:r>
          </w:p>
        </w:tc>
        <w:tc>
          <w:tcPr>
            <w:tcW w:w="649" w:type="pct"/>
          </w:tcPr>
          <w:p w14:paraId="19EFC135" w14:textId="77777777" w:rsidR="00883042" w:rsidRPr="002F0252" w:rsidRDefault="00883042" w:rsidP="009925DF">
            <w:r w:rsidRPr="002F0252">
              <w:t>The cost of the CBT intervention was Euro235,681 per year (in 2003).</w:t>
            </w:r>
          </w:p>
        </w:tc>
        <w:tc>
          <w:tcPr>
            <w:tcW w:w="578" w:type="pct"/>
          </w:tcPr>
          <w:p w14:paraId="1DD3E074" w14:textId="77777777" w:rsidR="00883042" w:rsidRPr="002F0252" w:rsidRDefault="00883042" w:rsidP="009925DF">
            <w:r w:rsidRPr="002F0252">
              <w:t>The cost saving due to reduced sickness days could be as much as Euro 599, 113 in 2003 per primary care team per year.</w:t>
            </w:r>
          </w:p>
        </w:tc>
        <w:tc>
          <w:tcPr>
            <w:tcW w:w="879" w:type="pct"/>
          </w:tcPr>
          <w:p w14:paraId="64567F94" w14:textId="77777777" w:rsidR="00883042" w:rsidRPr="002F0252" w:rsidRDefault="00883042" w:rsidP="009925DF">
            <w:r w:rsidRPr="002F0252">
              <w:t>The intervention costs were balanced out during the first year. A large potential for further cost reductions was identified in increased implementation of workplace-based return-to-work interventions.</w:t>
            </w:r>
          </w:p>
        </w:tc>
        <w:tc>
          <w:tcPr>
            <w:tcW w:w="879" w:type="pct"/>
          </w:tcPr>
          <w:p w14:paraId="65694EDE" w14:textId="77777777" w:rsidR="00883042" w:rsidRPr="002F0252" w:rsidRDefault="00883042" w:rsidP="009925DF">
            <w:r w:rsidRPr="002F0252">
              <w:t>Strong</w:t>
            </w:r>
          </w:p>
        </w:tc>
      </w:tr>
      <w:tr w:rsidR="00883042" w:rsidRPr="002F0252" w14:paraId="0B94DB20" w14:textId="77777777" w:rsidTr="009925DF">
        <w:tc>
          <w:tcPr>
            <w:tcW w:w="647" w:type="pct"/>
          </w:tcPr>
          <w:p w14:paraId="67A0A2A7" w14:textId="77777777" w:rsidR="00883042" w:rsidRPr="002F0252" w:rsidRDefault="00883042" w:rsidP="009925DF">
            <w:r w:rsidRPr="002F0252">
              <w:t>Muskuloskeletal disorders</w:t>
            </w:r>
          </w:p>
        </w:tc>
        <w:tc>
          <w:tcPr>
            <w:tcW w:w="434" w:type="pct"/>
          </w:tcPr>
          <w:p w14:paraId="188CCAC5" w14:textId="77777777" w:rsidR="00883042" w:rsidRPr="002F0252" w:rsidRDefault="00883042" w:rsidP="009925DF">
            <w:r w:rsidRPr="002F0252">
              <w:t xml:space="preserve">Bultmann et al </w:t>
            </w:r>
          </w:p>
        </w:tc>
        <w:tc>
          <w:tcPr>
            <w:tcW w:w="252" w:type="pct"/>
          </w:tcPr>
          <w:p w14:paraId="6C4BA2D5" w14:textId="77777777" w:rsidR="00883042" w:rsidRPr="002F0252" w:rsidRDefault="00883042" w:rsidP="009925DF">
            <w:r w:rsidRPr="002F0252">
              <w:t>2009</w:t>
            </w:r>
          </w:p>
        </w:tc>
        <w:tc>
          <w:tcPr>
            <w:tcW w:w="682" w:type="pct"/>
          </w:tcPr>
          <w:p w14:paraId="2CB2B938" w14:textId="77777777" w:rsidR="00883042" w:rsidRPr="002F0252" w:rsidRDefault="00883042" w:rsidP="009925DF">
            <w:r w:rsidRPr="002F0252">
              <w:t xml:space="preserve">Coordinated and tailored work rehabilitation (CTWR) delivered by an interdisciplinary team in the </w:t>
            </w:r>
            <w:r w:rsidRPr="002F0252">
              <w:lastRenderedPageBreak/>
              <w:t xml:space="preserve">Netherlands was cost-effective in terms of productivity loss. </w:t>
            </w:r>
          </w:p>
        </w:tc>
        <w:tc>
          <w:tcPr>
            <w:tcW w:w="649" w:type="pct"/>
          </w:tcPr>
          <w:p w14:paraId="5F786C4A" w14:textId="77777777" w:rsidR="00883042" w:rsidRPr="002F0252" w:rsidRDefault="00883042" w:rsidP="009925DF">
            <w:r w:rsidRPr="002F0252">
              <w:lastRenderedPageBreak/>
              <w:t xml:space="preserve">The cost of the coordinated and tailored work rehabilitation intervention programme </w:t>
            </w:r>
            <w:r w:rsidRPr="002F0252">
              <w:lastRenderedPageBreak/>
              <w:t>was $2,200 US dollars per person in 2007 (incremental costs compared to the conventional case management control).</w:t>
            </w:r>
          </w:p>
        </w:tc>
        <w:tc>
          <w:tcPr>
            <w:tcW w:w="578" w:type="pct"/>
          </w:tcPr>
          <w:p w14:paraId="29DF2FA5" w14:textId="77777777" w:rsidR="00883042" w:rsidRPr="002F0252" w:rsidRDefault="00883042" w:rsidP="009925DF">
            <w:r w:rsidRPr="002F0252">
              <w:lastRenderedPageBreak/>
              <w:t xml:space="preserve">The total costs saved in CTWR participants compared to controls were estimated as </w:t>
            </w:r>
            <w:r w:rsidRPr="002F0252">
              <w:lastRenderedPageBreak/>
              <w:t>US $1,366 per person at 6 months follow-up and US $ 10,666 per person at 12 months follow-up.</w:t>
            </w:r>
          </w:p>
        </w:tc>
        <w:tc>
          <w:tcPr>
            <w:tcW w:w="879" w:type="pct"/>
          </w:tcPr>
          <w:p w14:paraId="7233A1D5" w14:textId="77777777" w:rsidR="00883042" w:rsidRPr="002F0252" w:rsidRDefault="00883042" w:rsidP="009925DF">
            <w:r w:rsidRPr="002F0252">
              <w:lastRenderedPageBreak/>
              <w:t xml:space="preserve">Coordinated tailored work rehabilitation employed by an interdisciplinary team is effective compared to conventional case management in </w:t>
            </w:r>
            <w:r w:rsidRPr="002F0252">
              <w:lastRenderedPageBreak/>
              <w:t>workers absent from work due to musculoskeletal disorders. Workers had fewer sickness absence hours than controls, particularly in the second half of the year. The economic evaluation showed that the intervention was cost saving for society.</w:t>
            </w:r>
          </w:p>
        </w:tc>
        <w:tc>
          <w:tcPr>
            <w:tcW w:w="879" w:type="pct"/>
          </w:tcPr>
          <w:p w14:paraId="41D460DD" w14:textId="77777777" w:rsidR="00883042" w:rsidRPr="002F0252" w:rsidRDefault="00883042" w:rsidP="009925DF">
            <w:r w:rsidRPr="002F0252">
              <w:lastRenderedPageBreak/>
              <w:t>Strong</w:t>
            </w:r>
          </w:p>
        </w:tc>
      </w:tr>
      <w:tr w:rsidR="00883042" w:rsidRPr="002F0252" w14:paraId="5877A6AF" w14:textId="77777777" w:rsidTr="009925DF">
        <w:tc>
          <w:tcPr>
            <w:tcW w:w="647" w:type="pct"/>
          </w:tcPr>
          <w:p w14:paraId="68A7101F" w14:textId="77777777" w:rsidR="00883042" w:rsidRPr="002F0252" w:rsidRDefault="00883042" w:rsidP="009925DF">
            <w:r w:rsidRPr="002F0252">
              <w:t>Muskuloskeletal disorders</w:t>
            </w:r>
          </w:p>
        </w:tc>
        <w:tc>
          <w:tcPr>
            <w:tcW w:w="434" w:type="pct"/>
          </w:tcPr>
          <w:p w14:paraId="6C22699F" w14:textId="77777777" w:rsidR="00883042" w:rsidRPr="002F0252" w:rsidRDefault="00883042" w:rsidP="009925DF">
            <w:r w:rsidRPr="002F0252">
              <w:t xml:space="preserve">Leon et al </w:t>
            </w:r>
          </w:p>
        </w:tc>
        <w:tc>
          <w:tcPr>
            <w:tcW w:w="252" w:type="pct"/>
          </w:tcPr>
          <w:p w14:paraId="7F3AFC55" w14:textId="77777777" w:rsidR="00883042" w:rsidRPr="002F0252" w:rsidRDefault="00883042" w:rsidP="009925DF">
            <w:r w:rsidRPr="002F0252">
              <w:t>2009</w:t>
            </w:r>
          </w:p>
        </w:tc>
        <w:tc>
          <w:tcPr>
            <w:tcW w:w="682" w:type="pct"/>
          </w:tcPr>
          <w:p w14:paraId="14EF4796" w14:textId="77777777" w:rsidR="00883042" w:rsidRPr="002F0252" w:rsidRDefault="00883042" w:rsidP="009925DF">
            <w:r w:rsidRPr="002F0252">
              <w:t>The study was conducted in Spain to evaluate the effectiveness and early cognitive behavioural treatment in patients with work disability due to musculoskeletal disorders.</w:t>
            </w:r>
          </w:p>
        </w:tc>
        <w:tc>
          <w:tcPr>
            <w:tcW w:w="649" w:type="pct"/>
          </w:tcPr>
          <w:p w14:paraId="3A99FEF6" w14:textId="77777777" w:rsidR="00883042" w:rsidRPr="002F0252" w:rsidRDefault="00883042" w:rsidP="009925DF">
            <w:r w:rsidRPr="002F0252">
              <w:t xml:space="preserve">Direct and indirect costs were significantly lower in the intervention group saving $1, 796 per patient (US dollars in 2009), and the highest savings were related to productivity loss ($1,546 per </w:t>
            </w:r>
            <w:r w:rsidRPr="002F0252">
              <w:lastRenderedPageBreak/>
              <w:t>patient in US dollars in 2009)</w:t>
            </w:r>
          </w:p>
        </w:tc>
        <w:tc>
          <w:tcPr>
            <w:tcW w:w="578" w:type="pct"/>
          </w:tcPr>
          <w:p w14:paraId="40D7096B" w14:textId="77777777" w:rsidR="00883042" w:rsidRPr="002F0252" w:rsidRDefault="00883042" w:rsidP="009925DF">
            <w:r w:rsidRPr="002F0252">
              <w:lastRenderedPageBreak/>
              <w:t>In terms of cost-benefit, every dollar invested produced a savings of $4.08 (US dollars in 2009) at the end of the second year.</w:t>
            </w:r>
          </w:p>
        </w:tc>
        <w:tc>
          <w:tcPr>
            <w:tcW w:w="879" w:type="pct"/>
          </w:tcPr>
          <w:p w14:paraId="149136D9" w14:textId="77777777" w:rsidR="00883042" w:rsidRPr="002F0252" w:rsidRDefault="00883042" w:rsidP="009925DF">
            <w:r w:rsidRPr="002F0252">
              <w:t>Early cognitive-behavioural treatment complementary to a rheumatologic care programme is cost-effective, adds more than 20% efficacy to the rheumatologic care programme and reduces the duration of relapse.</w:t>
            </w:r>
          </w:p>
        </w:tc>
        <w:tc>
          <w:tcPr>
            <w:tcW w:w="879" w:type="pct"/>
          </w:tcPr>
          <w:p w14:paraId="21F1E8AB" w14:textId="77777777" w:rsidR="00883042" w:rsidRPr="002F0252" w:rsidRDefault="001B4DEF" w:rsidP="009925DF">
            <w:r w:rsidRPr="002F0252">
              <w:t>Strong</w:t>
            </w:r>
          </w:p>
        </w:tc>
      </w:tr>
      <w:tr w:rsidR="00883042" w:rsidRPr="002F0252" w14:paraId="20D19C56" w14:textId="77777777" w:rsidTr="009925DF">
        <w:tc>
          <w:tcPr>
            <w:tcW w:w="647" w:type="pct"/>
          </w:tcPr>
          <w:p w14:paraId="01427B1E" w14:textId="77777777" w:rsidR="00883042" w:rsidRPr="002F0252" w:rsidRDefault="00883042" w:rsidP="009925DF">
            <w:r w:rsidRPr="002F0252">
              <w:t>Muskuloskeletal disorders</w:t>
            </w:r>
          </w:p>
        </w:tc>
        <w:tc>
          <w:tcPr>
            <w:tcW w:w="434" w:type="pct"/>
          </w:tcPr>
          <w:p w14:paraId="6E79E4D2" w14:textId="77777777" w:rsidR="00883042" w:rsidRPr="002F0252" w:rsidRDefault="00883042" w:rsidP="009925DF">
            <w:r w:rsidRPr="002F0252">
              <w:t>Van Eijsden et al</w:t>
            </w:r>
          </w:p>
        </w:tc>
        <w:tc>
          <w:tcPr>
            <w:tcW w:w="252" w:type="pct"/>
          </w:tcPr>
          <w:p w14:paraId="554C2B99" w14:textId="77777777" w:rsidR="00883042" w:rsidRPr="002F0252" w:rsidRDefault="00883042" w:rsidP="009925DF">
            <w:r w:rsidRPr="002F0252">
              <w:t>2009</w:t>
            </w:r>
          </w:p>
        </w:tc>
        <w:tc>
          <w:tcPr>
            <w:tcW w:w="682" w:type="pct"/>
          </w:tcPr>
          <w:p w14:paraId="663173C2" w14:textId="77777777" w:rsidR="00883042" w:rsidRPr="002F0252" w:rsidRDefault="00883042" w:rsidP="009925DF">
            <w:r w:rsidRPr="002F0252">
              <w:t>The study was conducted in the Netherlands to investigate the cost-effectiveness of postural exercise therapy versus physiotherapy in computer screen-workers with early non-specific work-related upper limb disorders (WRULD).</w:t>
            </w:r>
          </w:p>
        </w:tc>
        <w:tc>
          <w:tcPr>
            <w:tcW w:w="649" w:type="pct"/>
          </w:tcPr>
          <w:p w14:paraId="1232B7E4" w14:textId="77777777" w:rsidR="00883042" w:rsidRPr="002F0252" w:rsidRDefault="00883042" w:rsidP="009925DF">
            <w:r w:rsidRPr="002F0252">
              <w:t>Total health care costs were Euro693 per patient group in 2009 for the postural exercise group, and Euro 684 per patient group in 2009 for the regular physiotherapy group at one year.</w:t>
            </w:r>
          </w:p>
        </w:tc>
        <w:tc>
          <w:tcPr>
            <w:tcW w:w="578" w:type="pct"/>
          </w:tcPr>
          <w:p w14:paraId="3EC55436" w14:textId="77777777" w:rsidR="00883042" w:rsidRPr="002F0252" w:rsidRDefault="00883042" w:rsidP="009925DF">
            <w:r w:rsidRPr="002F0252">
              <w:t>At one year after the baseline the mean costs due to productivity loss were Euro217 in the postural exercise group and Euro920 in the regular physiotherapy group.</w:t>
            </w:r>
          </w:p>
        </w:tc>
        <w:tc>
          <w:tcPr>
            <w:tcW w:w="879" w:type="pct"/>
          </w:tcPr>
          <w:p w14:paraId="333C5FCE" w14:textId="77777777" w:rsidR="00883042" w:rsidRPr="002F0252" w:rsidRDefault="00883042" w:rsidP="009925DF">
            <w:r w:rsidRPr="002F0252">
              <w:t>The postural exercise therapy had a higher probability of being cost-effective than regular physiotherapy, but more research is needed.</w:t>
            </w:r>
          </w:p>
        </w:tc>
        <w:tc>
          <w:tcPr>
            <w:tcW w:w="879" w:type="pct"/>
          </w:tcPr>
          <w:p w14:paraId="2E34208D" w14:textId="77777777" w:rsidR="00883042" w:rsidRPr="002F0252" w:rsidRDefault="00883042" w:rsidP="009925DF">
            <w:r w:rsidRPr="002F0252">
              <w:t>Strong</w:t>
            </w:r>
          </w:p>
        </w:tc>
      </w:tr>
      <w:tr w:rsidR="00883042" w:rsidRPr="002F0252" w14:paraId="729BB7B5" w14:textId="77777777" w:rsidTr="009925DF">
        <w:tc>
          <w:tcPr>
            <w:tcW w:w="647" w:type="pct"/>
          </w:tcPr>
          <w:p w14:paraId="2467644A" w14:textId="77777777" w:rsidR="00883042" w:rsidRPr="002F0252" w:rsidRDefault="00883042" w:rsidP="009925DF">
            <w:r w:rsidRPr="002F0252">
              <w:t>Muskuloskeletal disorders</w:t>
            </w:r>
          </w:p>
        </w:tc>
        <w:tc>
          <w:tcPr>
            <w:tcW w:w="434" w:type="pct"/>
          </w:tcPr>
          <w:p w14:paraId="2D7F2494" w14:textId="77777777" w:rsidR="00883042" w:rsidRPr="002F0252" w:rsidRDefault="00883042" w:rsidP="009925DF">
            <w:r w:rsidRPr="002F0252">
              <w:t xml:space="preserve">Evanoff et al </w:t>
            </w:r>
          </w:p>
        </w:tc>
        <w:tc>
          <w:tcPr>
            <w:tcW w:w="252" w:type="pct"/>
          </w:tcPr>
          <w:p w14:paraId="01AB165D" w14:textId="77777777" w:rsidR="00883042" w:rsidRPr="002F0252" w:rsidRDefault="00883042" w:rsidP="009925DF">
            <w:r w:rsidRPr="002F0252">
              <w:t>2010</w:t>
            </w:r>
          </w:p>
        </w:tc>
        <w:tc>
          <w:tcPr>
            <w:tcW w:w="682" w:type="pct"/>
          </w:tcPr>
          <w:p w14:paraId="1B85A409" w14:textId="77777777" w:rsidR="00883042" w:rsidRPr="002F0252" w:rsidRDefault="00883042" w:rsidP="009925DF">
            <w:r w:rsidRPr="002F0252">
              <w:t>Pre-employment screening for carpal tunnel syndrome is not appropriate for most employers.</w:t>
            </w:r>
          </w:p>
        </w:tc>
        <w:tc>
          <w:tcPr>
            <w:tcW w:w="649" w:type="pct"/>
          </w:tcPr>
          <w:p w14:paraId="70F2B43A" w14:textId="77777777" w:rsidR="00883042" w:rsidRPr="002F0252" w:rsidRDefault="00883042" w:rsidP="009925DF">
            <w:r w:rsidRPr="002F0252">
              <w:t>The median cost per employee positon over five years was $503 (US dollars in 2010).</w:t>
            </w:r>
          </w:p>
        </w:tc>
        <w:tc>
          <w:tcPr>
            <w:tcW w:w="578" w:type="pct"/>
          </w:tcPr>
          <w:p w14:paraId="29F90670" w14:textId="77777777" w:rsidR="00883042" w:rsidRPr="002F0252" w:rsidRDefault="00883042" w:rsidP="009925DF">
            <w:r w:rsidRPr="002F0252">
              <w:t>The cost saving for a strategy of no screening would be $302 per employee positon over five years.</w:t>
            </w:r>
          </w:p>
        </w:tc>
        <w:tc>
          <w:tcPr>
            <w:tcW w:w="879" w:type="pct"/>
          </w:tcPr>
          <w:p w14:paraId="5178C9C8" w14:textId="77777777" w:rsidR="00883042" w:rsidRPr="002F0252" w:rsidRDefault="00883042" w:rsidP="009925DF">
            <w:r w:rsidRPr="002F0252">
              <w:t xml:space="preserve">A post-employment offer screening for carpal tunnel syndrome is not cost-beneficial for the majority of employers and any such screening should be carefully evaluated for economic yield and </w:t>
            </w:r>
            <w:r w:rsidRPr="002F0252">
              <w:lastRenderedPageBreak/>
              <w:t>social consequences before being implemented.</w:t>
            </w:r>
          </w:p>
        </w:tc>
        <w:tc>
          <w:tcPr>
            <w:tcW w:w="879" w:type="pct"/>
          </w:tcPr>
          <w:p w14:paraId="21E1E85B" w14:textId="77777777" w:rsidR="00883042" w:rsidRPr="002F0252" w:rsidRDefault="00883042" w:rsidP="009925DF">
            <w:r w:rsidRPr="002F0252">
              <w:lastRenderedPageBreak/>
              <w:t>Strong</w:t>
            </w:r>
          </w:p>
        </w:tc>
      </w:tr>
      <w:tr w:rsidR="00883042" w:rsidRPr="002F0252" w14:paraId="68808EE5" w14:textId="77777777" w:rsidTr="009925DF">
        <w:tc>
          <w:tcPr>
            <w:tcW w:w="647" w:type="pct"/>
          </w:tcPr>
          <w:p w14:paraId="5AE393FD" w14:textId="77777777" w:rsidR="00883042" w:rsidRPr="002F0252" w:rsidRDefault="00883042" w:rsidP="009925DF">
            <w:r w:rsidRPr="002F0252">
              <w:t>Muskuloskeletal disorders</w:t>
            </w:r>
          </w:p>
        </w:tc>
        <w:tc>
          <w:tcPr>
            <w:tcW w:w="434" w:type="pct"/>
          </w:tcPr>
          <w:p w14:paraId="67B126DA" w14:textId="77777777" w:rsidR="00883042" w:rsidRPr="002F0252" w:rsidRDefault="00883042" w:rsidP="009925DF">
            <w:r w:rsidRPr="002F0252">
              <w:t xml:space="preserve">Roelofs et al </w:t>
            </w:r>
          </w:p>
        </w:tc>
        <w:tc>
          <w:tcPr>
            <w:tcW w:w="252" w:type="pct"/>
          </w:tcPr>
          <w:p w14:paraId="122C6026" w14:textId="77777777" w:rsidR="00883042" w:rsidRPr="002F0252" w:rsidRDefault="00883042" w:rsidP="009925DF">
            <w:r w:rsidRPr="002F0252">
              <w:t>2010</w:t>
            </w:r>
          </w:p>
        </w:tc>
        <w:tc>
          <w:tcPr>
            <w:tcW w:w="682" w:type="pct"/>
          </w:tcPr>
          <w:p w14:paraId="4B715B4F" w14:textId="77777777" w:rsidR="00883042" w:rsidRPr="002F0252" w:rsidRDefault="00883042" w:rsidP="009925DF">
            <w:r w:rsidRPr="002F0252">
              <w:t>Cost-effectiveness of lumbar supports for home care workers with recurrent low back pain.</w:t>
            </w:r>
          </w:p>
        </w:tc>
        <w:tc>
          <w:tcPr>
            <w:tcW w:w="649" w:type="pct"/>
          </w:tcPr>
          <w:p w14:paraId="56C8C6CE" w14:textId="77777777" w:rsidR="00883042" w:rsidRPr="002F0252" w:rsidRDefault="00883042" w:rsidP="009925DF">
            <w:r w:rsidRPr="002F0252">
              <w:t xml:space="preserve">Direct </w:t>
            </w:r>
            <w:r w:rsidR="00207803" w:rsidRPr="002F0252">
              <w:t>health care</w:t>
            </w:r>
            <w:r w:rsidRPr="002F0252">
              <w:t xml:space="preserve"> costs, direct non-</w:t>
            </w:r>
            <w:r w:rsidR="00207803" w:rsidRPr="002F0252">
              <w:t>health care</w:t>
            </w:r>
            <w:r w:rsidRPr="002F0252">
              <w:t xml:space="preserve"> costs, and indirect costs because of lower back pain were used as economic indicators.</w:t>
            </w:r>
          </w:p>
        </w:tc>
        <w:tc>
          <w:tcPr>
            <w:tcW w:w="578" w:type="pct"/>
          </w:tcPr>
          <w:p w14:paraId="6F7FB642" w14:textId="77777777" w:rsidR="00883042" w:rsidRPr="002F0252" w:rsidRDefault="00883042" w:rsidP="009925DF">
            <w:r w:rsidRPr="002F0252">
              <w:t>Direct costs were Euro235 in 2010 lower in the lumbar support group. Indirect costs were Euro255 in 2003 lower, but this was not statistically significant.</w:t>
            </w:r>
          </w:p>
        </w:tc>
        <w:tc>
          <w:tcPr>
            <w:tcW w:w="879" w:type="pct"/>
          </w:tcPr>
          <w:p w14:paraId="117FF19F" w14:textId="77777777" w:rsidR="00883042" w:rsidRPr="002F0252" w:rsidRDefault="00883042" w:rsidP="009925DF">
            <w:r w:rsidRPr="002F0252">
              <w:t>Lumbar support seems to be a cost-effective addition to usual care for home care workers with recurrent lower back pain.</w:t>
            </w:r>
          </w:p>
        </w:tc>
        <w:tc>
          <w:tcPr>
            <w:tcW w:w="879" w:type="pct"/>
          </w:tcPr>
          <w:p w14:paraId="74652D1C" w14:textId="77777777" w:rsidR="00883042" w:rsidRPr="002F0252" w:rsidRDefault="00883042" w:rsidP="009925DF">
            <w:r w:rsidRPr="002F0252">
              <w:t>Strong</w:t>
            </w:r>
          </w:p>
        </w:tc>
      </w:tr>
      <w:tr w:rsidR="00883042" w:rsidRPr="002F0252" w14:paraId="0F648C46" w14:textId="77777777" w:rsidTr="009925DF">
        <w:tc>
          <w:tcPr>
            <w:tcW w:w="647" w:type="pct"/>
          </w:tcPr>
          <w:p w14:paraId="26F6CD9F" w14:textId="77777777" w:rsidR="00883042" w:rsidRPr="002F0252" w:rsidRDefault="00883042" w:rsidP="009925DF">
            <w:r w:rsidRPr="002F0252">
              <w:t>Muskuloskeletal disorders</w:t>
            </w:r>
          </w:p>
        </w:tc>
        <w:tc>
          <w:tcPr>
            <w:tcW w:w="434" w:type="pct"/>
          </w:tcPr>
          <w:p w14:paraId="653B0BD9" w14:textId="77777777" w:rsidR="00883042" w:rsidRPr="002F0252" w:rsidRDefault="00883042" w:rsidP="009925DF">
            <w:r w:rsidRPr="002F0252">
              <w:t>Spekle et al</w:t>
            </w:r>
          </w:p>
        </w:tc>
        <w:tc>
          <w:tcPr>
            <w:tcW w:w="252" w:type="pct"/>
          </w:tcPr>
          <w:p w14:paraId="254281CA" w14:textId="77777777" w:rsidR="00883042" w:rsidRPr="002F0252" w:rsidRDefault="00883042" w:rsidP="009925DF">
            <w:r w:rsidRPr="002F0252">
              <w:t>2010</w:t>
            </w:r>
          </w:p>
        </w:tc>
        <w:tc>
          <w:tcPr>
            <w:tcW w:w="682" w:type="pct"/>
          </w:tcPr>
          <w:p w14:paraId="0379E2D3" w14:textId="77777777" w:rsidR="00883042" w:rsidRPr="002F0252" w:rsidRDefault="00883042" w:rsidP="009925DF">
            <w:r w:rsidRPr="002F0252">
              <w:t xml:space="preserve">The cost-effectiveness of the RSI QuickScan intervention programme for computer workers. </w:t>
            </w:r>
          </w:p>
        </w:tc>
        <w:tc>
          <w:tcPr>
            <w:tcW w:w="649" w:type="pct"/>
          </w:tcPr>
          <w:p w14:paraId="75FF7438" w14:textId="77777777" w:rsidR="00883042" w:rsidRPr="002F0252" w:rsidRDefault="00883042" w:rsidP="009925DF">
            <w:r w:rsidRPr="002F0252">
              <w:t>The mean intervention costs paid by the employer were Euro59 in 2010 in the intervention and Euro28 in 2010 in the usual care group</w:t>
            </w:r>
          </w:p>
        </w:tc>
        <w:tc>
          <w:tcPr>
            <w:tcW w:w="578" w:type="pct"/>
          </w:tcPr>
          <w:p w14:paraId="641A71B1" w14:textId="77777777" w:rsidR="00883042" w:rsidRPr="002F0252" w:rsidRDefault="00883042" w:rsidP="009925DF">
            <w:r w:rsidRPr="002F0252">
              <w:t>Non-significant sick leave effects were found between the intervention and the control groups.</w:t>
            </w:r>
          </w:p>
        </w:tc>
        <w:tc>
          <w:tcPr>
            <w:tcW w:w="879" w:type="pct"/>
          </w:tcPr>
          <w:p w14:paraId="65887C20" w14:textId="77777777" w:rsidR="00883042" w:rsidRPr="002F0252" w:rsidRDefault="00883042" w:rsidP="009925DF">
            <w:r w:rsidRPr="002F0252">
              <w:t xml:space="preserve">Although the RSI QuickScan programme improved work posture and movement of computer workers, it was not cost-effective from a societal or companies’ perspective and therefore the study did not provide a </w:t>
            </w:r>
            <w:r w:rsidRPr="002F0252">
              <w:lastRenderedPageBreak/>
              <w:t>financial reason for implementing the intervention.</w:t>
            </w:r>
          </w:p>
        </w:tc>
        <w:tc>
          <w:tcPr>
            <w:tcW w:w="879" w:type="pct"/>
          </w:tcPr>
          <w:p w14:paraId="400EB5E3" w14:textId="77777777" w:rsidR="00883042" w:rsidRPr="002F0252" w:rsidRDefault="00883042" w:rsidP="009925DF">
            <w:r w:rsidRPr="002F0252">
              <w:lastRenderedPageBreak/>
              <w:t>Strong</w:t>
            </w:r>
          </w:p>
        </w:tc>
      </w:tr>
      <w:tr w:rsidR="00883042" w:rsidRPr="002F0252" w14:paraId="1788B495" w14:textId="77777777" w:rsidTr="009925DF">
        <w:tc>
          <w:tcPr>
            <w:tcW w:w="647" w:type="pct"/>
          </w:tcPr>
          <w:p w14:paraId="1F6625DC" w14:textId="77777777" w:rsidR="00883042" w:rsidRPr="002F0252" w:rsidRDefault="00883042" w:rsidP="009925DF">
            <w:r w:rsidRPr="002F0252">
              <w:t>Muskuloskeletal disorders</w:t>
            </w:r>
          </w:p>
        </w:tc>
        <w:tc>
          <w:tcPr>
            <w:tcW w:w="434" w:type="pct"/>
          </w:tcPr>
          <w:p w14:paraId="2CC726E4" w14:textId="77777777" w:rsidR="00883042" w:rsidRPr="002F0252" w:rsidRDefault="00883042" w:rsidP="009925DF">
            <w:r w:rsidRPr="002F0252">
              <w:t xml:space="preserve">Bernaards et al </w:t>
            </w:r>
          </w:p>
        </w:tc>
        <w:tc>
          <w:tcPr>
            <w:tcW w:w="252" w:type="pct"/>
          </w:tcPr>
          <w:p w14:paraId="6F2BB49E" w14:textId="77777777" w:rsidR="00883042" w:rsidRPr="002F0252" w:rsidRDefault="00883042" w:rsidP="009925DF">
            <w:r w:rsidRPr="002F0252">
              <w:t>2011</w:t>
            </w:r>
          </w:p>
        </w:tc>
        <w:tc>
          <w:tcPr>
            <w:tcW w:w="682" w:type="pct"/>
          </w:tcPr>
          <w:p w14:paraId="7ABD0FA6" w14:textId="77777777" w:rsidR="00883042" w:rsidRPr="002F0252" w:rsidRDefault="00883042" w:rsidP="009925DF">
            <w:r w:rsidRPr="002F0252">
              <w:t>A work style plus physical intervention was not cost-effective in the Netherlands for improving recovery from upper limb symptoms of computer workers.</w:t>
            </w:r>
          </w:p>
        </w:tc>
        <w:tc>
          <w:tcPr>
            <w:tcW w:w="649" w:type="pct"/>
          </w:tcPr>
          <w:p w14:paraId="420E560E" w14:textId="77777777" w:rsidR="00883042" w:rsidRPr="002F0252" w:rsidRDefault="00883042" w:rsidP="009925DF">
            <w:r w:rsidRPr="002F0252">
              <w:t>The cost of the work style plus physical intervention was Euro2811 in 2010, and the cost of usual care was Euro2310 in 2010. However, this was not a statistically significant difference.</w:t>
            </w:r>
          </w:p>
        </w:tc>
        <w:tc>
          <w:tcPr>
            <w:tcW w:w="578" w:type="pct"/>
          </w:tcPr>
          <w:p w14:paraId="3B082F94" w14:textId="77777777" w:rsidR="00883042" w:rsidRPr="002F0252" w:rsidRDefault="00883042" w:rsidP="009925DF">
            <w:r w:rsidRPr="002F0252">
              <w:t>The work style plus physical intervention was not cost-effective compared to usual care.</w:t>
            </w:r>
          </w:p>
        </w:tc>
        <w:tc>
          <w:tcPr>
            <w:tcW w:w="879" w:type="pct"/>
          </w:tcPr>
          <w:p w14:paraId="44160819" w14:textId="77777777" w:rsidR="00883042" w:rsidRPr="002F0252" w:rsidRDefault="00883042" w:rsidP="009925DF">
            <w:r w:rsidRPr="002F0252">
              <w:t>As there were no clinically significant benefits or cost-savings, the authors suggest that more research it needed to understand which specific risk groups may benefit most from a work style intervention.</w:t>
            </w:r>
          </w:p>
        </w:tc>
        <w:tc>
          <w:tcPr>
            <w:tcW w:w="879" w:type="pct"/>
          </w:tcPr>
          <w:p w14:paraId="1C417DED" w14:textId="77777777" w:rsidR="00883042" w:rsidRPr="002F0252" w:rsidRDefault="00883042" w:rsidP="009925DF">
            <w:r w:rsidRPr="002F0252">
              <w:t>Strong</w:t>
            </w:r>
          </w:p>
        </w:tc>
      </w:tr>
      <w:tr w:rsidR="00883042" w:rsidRPr="002F0252" w14:paraId="40FB4763" w14:textId="77777777" w:rsidTr="009925DF">
        <w:tc>
          <w:tcPr>
            <w:tcW w:w="647" w:type="pct"/>
          </w:tcPr>
          <w:p w14:paraId="7284768B" w14:textId="77777777" w:rsidR="00883042" w:rsidRPr="002F0252" w:rsidRDefault="00883042" w:rsidP="004B4BBB">
            <w:r w:rsidRPr="002F0252">
              <w:t>Musculoskeletal disorders</w:t>
            </w:r>
          </w:p>
        </w:tc>
        <w:tc>
          <w:tcPr>
            <w:tcW w:w="434" w:type="pct"/>
          </w:tcPr>
          <w:p w14:paraId="5EC49819" w14:textId="77777777" w:rsidR="00883042" w:rsidRPr="002F0252" w:rsidRDefault="00883042" w:rsidP="004B4BBB">
            <w:r w:rsidRPr="002F0252">
              <w:t>Vermeulen</w:t>
            </w:r>
          </w:p>
        </w:tc>
        <w:tc>
          <w:tcPr>
            <w:tcW w:w="252" w:type="pct"/>
          </w:tcPr>
          <w:p w14:paraId="370BDC9C" w14:textId="77777777" w:rsidR="00883042" w:rsidRPr="002F0252" w:rsidRDefault="00883042" w:rsidP="004B4BBB">
            <w:r w:rsidRPr="002F0252">
              <w:t>2013</w:t>
            </w:r>
          </w:p>
        </w:tc>
        <w:tc>
          <w:tcPr>
            <w:tcW w:w="682" w:type="pct"/>
          </w:tcPr>
          <w:p w14:paraId="5D1B2B3B" w14:textId="77777777" w:rsidR="00883042" w:rsidRPr="002F0252" w:rsidRDefault="00883042" w:rsidP="00AE52D5">
            <w:r w:rsidRPr="002F0252">
              <w:t xml:space="preserve">An economic evaluation of a participatory return to work intervention for temporary agency and unemployed workers sick-listed due to musculoskeletal </w:t>
            </w:r>
            <w:r w:rsidRPr="002F0252">
              <w:lastRenderedPageBreak/>
              <w:t>disorders was conducted in the Netherlands in 2013.</w:t>
            </w:r>
          </w:p>
        </w:tc>
        <w:tc>
          <w:tcPr>
            <w:tcW w:w="649" w:type="pct"/>
          </w:tcPr>
          <w:p w14:paraId="7656591C" w14:textId="77777777" w:rsidR="00883042" w:rsidRPr="002F0252" w:rsidRDefault="00883042" w:rsidP="009925DF">
            <w:r w:rsidRPr="002F0252">
              <w:lastRenderedPageBreak/>
              <w:t xml:space="preserve">The total </w:t>
            </w:r>
            <w:r w:rsidR="00207803" w:rsidRPr="002F0252">
              <w:t>health care</w:t>
            </w:r>
            <w:r w:rsidRPr="002F0252">
              <w:t xml:space="preserve"> cost in the return to work programme group was Euro 10,189and significantly higher compared to the care as usual group </w:t>
            </w:r>
            <w:r w:rsidRPr="002F0252">
              <w:lastRenderedPageBreak/>
              <w:t>Euro7,862 in 2013.</w:t>
            </w:r>
          </w:p>
        </w:tc>
        <w:tc>
          <w:tcPr>
            <w:tcW w:w="578" w:type="pct"/>
          </w:tcPr>
          <w:p w14:paraId="69A58FD7" w14:textId="77777777" w:rsidR="00883042" w:rsidRPr="002F0252" w:rsidRDefault="00883042" w:rsidP="004B4BBB">
            <w:r w:rsidRPr="002F0252">
              <w:lastRenderedPageBreak/>
              <w:t>The net social benefit of the participatory return to work programme compared to care as usual was Euro2073 per worker in 2013.</w:t>
            </w:r>
          </w:p>
        </w:tc>
        <w:tc>
          <w:tcPr>
            <w:tcW w:w="879" w:type="pct"/>
          </w:tcPr>
          <w:p w14:paraId="0F8C10F0" w14:textId="77777777" w:rsidR="00883042" w:rsidRPr="002F0252" w:rsidRDefault="00883042" w:rsidP="009925DF">
            <w:r w:rsidRPr="002F0252">
              <w:t xml:space="preserve">The newly developed participatory return to work programme was more effective but also more costly than usual care, the programme enhanced work resumption and generated a net socioeconomic benefit, thus has </w:t>
            </w:r>
            <w:r w:rsidRPr="002F0252">
              <w:lastRenderedPageBreak/>
              <w:t xml:space="preserve">potential to achieve a sustainable contribution of vulnerable workers to the labour force. </w:t>
            </w:r>
          </w:p>
        </w:tc>
        <w:tc>
          <w:tcPr>
            <w:tcW w:w="879" w:type="pct"/>
          </w:tcPr>
          <w:p w14:paraId="0B7274E6" w14:textId="77777777" w:rsidR="00883042" w:rsidRPr="002F0252" w:rsidRDefault="00883042" w:rsidP="004B4BBB">
            <w:r w:rsidRPr="002F0252">
              <w:lastRenderedPageBreak/>
              <w:t>Strong</w:t>
            </w:r>
          </w:p>
        </w:tc>
      </w:tr>
    </w:tbl>
    <w:p w14:paraId="02EE84C6" w14:textId="77777777" w:rsidR="00D7729D" w:rsidRPr="002F0252" w:rsidRDefault="00D7729D" w:rsidP="00556C47">
      <w:pPr>
        <w:rPr>
          <w:b/>
        </w:rPr>
      </w:pPr>
    </w:p>
    <w:p w14:paraId="1368514F" w14:textId="77777777" w:rsidR="00883042" w:rsidRPr="002F0252" w:rsidRDefault="00883042">
      <w:pPr>
        <w:rPr>
          <w:b/>
        </w:rPr>
      </w:pPr>
      <w:r w:rsidRPr="002F0252">
        <w:rPr>
          <w:b/>
        </w:rPr>
        <w:br w:type="page"/>
      </w:r>
    </w:p>
    <w:p w14:paraId="24041214" w14:textId="20672778" w:rsidR="00883042" w:rsidRPr="002F0252" w:rsidRDefault="002D412F" w:rsidP="00883042">
      <w:pPr>
        <w:rPr>
          <w:b/>
        </w:rPr>
      </w:pPr>
      <w:r w:rsidRPr="002F0252">
        <w:rPr>
          <w:b/>
        </w:rPr>
        <w:lastRenderedPageBreak/>
        <w:t xml:space="preserve">Table </w:t>
      </w:r>
      <w:r w:rsidR="00880431">
        <w:rPr>
          <w:b/>
        </w:rPr>
        <w:t>4.</w:t>
      </w:r>
      <w:r w:rsidRPr="002F0252">
        <w:rPr>
          <w:b/>
        </w:rPr>
        <w:t>9</w:t>
      </w:r>
      <w:r w:rsidR="00883042" w:rsidRPr="002F0252">
        <w:rPr>
          <w:b/>
        </w:rPr>
        <w:t xml:space="preserve"> </w:t>
      </w:r>
      <w:r w:rsidR="00883042" w:rsidRPr="002F0252">
        <w:rPr>
          <w:b/>
        </w:rPr>
        <w:tab/>
        <w:t xml:space="preserve">Interventions to reduce work disability related to </w:t>
      </w:r>
      <w:r w:rsidR="00576A59" w:rsidRPr="002F0252">
        <w:rPr>
          <w:b/>
        </w:rPr>
        <w:t>rheumatoid arthritis</w:t>
      </w:r>
    </w:p>
    <w:p w14:paraId="4B365398" w14:textId="77777777" w:rsidR="00D7729D" w:rsidRPr="002F0252" w:rsidRDefault="00D7729D" w:rsidP="00556C47">
      <w:pPr>
        <w:rPr>
          <w:b/>
        </w:rPr>
      </w:pPr>
    </w:p>
    <w:tbl>
      <w:tblPr>
        <w:tblStyle w:val="TableGrid"/>
        <w:tblW w:w="5000" w:type="pct"/>
        <w:tblLook w:val="04A0" w:firstRow="1" w:lastRow="0" w:firstColumn="1" w:lastColumn="0" w:noHBand="0" w:noVBand="1"/>
      </w:tblPr>
      <w:tblGrid>
        <w:gridCol w:w="1805"/>
        <w:gridCol w:w="1211"/>
        <w:gridCol w:w="703"/>
        <w:gridCol w:w="1903"/>
        <w:gridCol w:w="1810"/>
        <w:gridCol w:w="1612"/>
        <w:gridCol w:w="2452"/>
        <w:gridCol w:w="2452"/>
      </w:tblGrid>
      <w:tr w:rsidR="00F3481E" w:rsidRPr="002F0252" w14:paraId="45D7C22D" w14:textId="77777777" w:rsidTr="005D0541">
        <w:tc>
          <w:tcPr>
            <w:tcW w:w="647" w:type="pct"/>
          </w:tcPr>
          <w:p w14:paraId="7E31CF3F" w14:textId="77777777" w:rsidR="00F3481E" w:rsidRPr="002F0252" w:rsidRDefault="00F3481E" w:rsidP="005D0541">
            <w:pPr>
              <w:rPr>
                <w:b/>
              </w:rPr>
            </w:pPr>
            <w:r w:rsidRPr="002F0252">
              <w:rPr>
                <w:b/>
              </w:rPr>
              <w:t>Category of Initiative</w:t>
            </w:r>
          </w:p>
        </w:tc>
        <w:tc>
          <w:tcPr>
            <w:tcW w:w="434" w:type="pct"/>
          </w:tcPr>
          <w:p w14:paraId="57E8ACB4" w14:textId="77777777" w:rsidR="00F3481E" w:rsidRPr="002F0252" w:rsidRDefault="00F3481E" w:rsidP="005D0541">
            <w:pPr>
              <w:rPr>
                <w:b/>
              </w:rPr>
            </w:pPr>
            <w:r w:rsidRPr="002F0252">
              <w:rPr>
                <w:b/>
              </w:rPr>
              <w:t>Author</w:t>
            </w:r>
          </w:p>
        </w:tc>
        <w:tc>
          <w:tcPr>
            <w:tcW w:w="252" w:type="pct"/>
          </w:tcPr>
          <w:p w14:paraId="1436694F" w14:textId="77777777" w:rsidR="00F3481E" w:rsidRPr="002F0252" w:rsidRDefault="00F3481E" w:rsidP="005D0541">
            <w:pPr>
              <w:rPr>
                <w:b/>
              </w:rPr>
            </w:pPr>
            <w:r w:rsidRPr="002F0252">
              <w:rPr>
                <w:b/>
              </w:rPr>
              <w:t xml:space="preserve">Date </w:t>
            </w:r>
          </w:p>
        </w:tc>
        <w:tc>
          <w:tcPr>
            <w:tcW w:w="682" w:type="pct"/>
          </w:tcPr>
          <w:p w14:paraId="0672AF1B" w14:textId="77777777" w:rsidR="00F3481E" w:rsidRPr="002F0252" w:rsidRDefault="00F3481E" w:rsidP="005D0541">
            <w:pPr>
              <w:rPr>
                <w:b/>
              </w:rPr>
            </w:pPr>
            <w:r w:rsidRPr="002F0252">
              <w:rPr>
                <w:b/>
              </w:rPr>
              <w:t>Main finding</w:t>
            </w:r>
          </w:p>
        </w:tc>
        <w:tc>
          <w:tcPr>
            <w:tcW w:w="649" w:type="pct"/>
          </w:tcPr>
          <w:p w14:paraId="78B44325" w14:textId="77777777" w:rsidR="00F3481E" w:rsidRPr="002F0252" w:rsidRDefault="00F3481E" w:rsidP="005D0541">
            <w:pPr>
              <w:rPr>
                <w:b/>
              </w:rPr>
            </w:pPr>
            <w:r w:rsidRPr="002F0252">
              <w:rPr>
                <w:b/>
              </w:rPr>
              <w:t>Cost implication</w:t>
            </w:r>
          </w:p>
        </w:tc>
        <w:tc>
          <w:tcPr>
            <w:tcW w:w="578" w:type="pct"/>
          </w:tcPr>
          <w:p w14:paraId="3680E651" w14:textId="77777777" w:rsidR="00F3481E" w:rsidRPr="002F0252" w:rsidRDefault="00F3481E" w:rsidP="005D0541">
            <w:pPr>
              <w:rPr>
                <w:b/>
              </w:rPr>
            </w:pPr>
            <w:r w:rsidRPr="002F0252">
              <w:rPr>
                <w:b/>
              </w:rPr>
              <w:t xml:space="preserve">Cost saving </w:t>
            </w:r>
          </w:p>
        </w:tc>
        <w:tc>
          <w:tcPr>
            <w:tcW w:w="879" w:type="pct"/>
          </w:tcPr>
          <w:p w14:paraId="0A107F48" w14:textId="77777777" w:rsidR="00F3481E" w:rsidRPr="002F0252" w:rsidRDefault="00F3481E" w:rsidP="005D0541">
            <w:pPr>
              <w:rPr>
                <w:b/>
              </w:rPr>
            </w:pPr>
            <w:r w:rsidRPr="002F0252">
              <w:rPr>
                <w:b/>
              </w:rPr>
              <w:t>Recommendation</w:t>
            </w:r>
          </w:p>
          <w:p w14:paraId="35EF9611" w14:textId="77777777" w:rsidR="00F3481E" w:rsidRPr="002F0252" w:rsidRDefault="00F3481E" w:rsidP="005D0541">
            <w:pPr>
              <w:ind w:firstLine="720"/>
            </w:pPr>
          </w:p>
        </w:tc>
        <w:tc>
          <w:tcPr>
            <w:tcW w:w="879" w:type="pct"/>
          </w:tcPr>
          <w:p w14:paraId="435CEAC2" w14:textId="77777777" w:rsidR="00F3481E" w:rsidRPr="002F0252" w:rsidRDefault="00F3481E" w:rsidP="005D0541">
            <w:pPr>
              <w:rPr>
                <w:b/>
              </w:rPr>
            </w:pPr>
            <w:r w:rsidRPr="002F0252">
              <w:rPr>
                <w:b/>
              </w:rPr>
              <w:t>Strength of evidence</w:t>
            </w:r>
          </w:p>
          <w:p w14:paraId="5EA6F37C" w14:textId="77777777" w:rsidR="00F3481E" w:rsidRPr="002F0252" w:rsidRDefault="00F3481E" w:rsidP="005D0541">
            <w:pPr>
              <w:rPr>
                <w:b/>
              </w:rPr>
            </w:pPr>
            <w:r w:rsidRPr="002F0252">
              <w:rPr>
                <w:b/>
              </w:rPr>
              <w:t>(weak, moderate, strong)</w:t>
            </w:r>
          </w:p>
        </w:tc>
      </w:tr>
      <w:tr w:rsidR="00F3481E" w:rsidRPr="002F0252" w14:paraId="605EE72B" w14:textId="77777777" w:rsidTr="005D0541">
        <w:tc>
          <w:tcPr>
            <w:tcW w:w="647" w:type="pct"/>
          </w:tcPr>
          <w:p w14:paraId="014101EE" w14:textId="77777777" w:rsidR="00F3481E" w:rsidRPr="002F0252" w:rsidRDefault="00DF728B" w:rsidP="005D0541">
            <w:r w:rsidRPr="002F0252">
              <w:t>Rheumatoid arthritis</w:t>
            </w:r>
          </w:p>
        </w:tc>
        <w:tc>
          <w:tcPr>
            <w:tcW w:w="434" w:type="pct"/>
          </w:tcPr>
          <w:p w14:paraId="35F3C92D" w14:textId="77777777" w:rsidR="00F3481E" w:rsidRPr="002F0252" w:rsidRDefault="00DF728B" w:rsidP="005D0541">
            <w:r w:rsidRPr="002F0252">
              <w:t xml:space="preserve">De Jong et al </w:t>
            </w:r>
          </w:p>
        </w:tc>
        <w:tc>
          <w:tcPr>
            <w:tcW w:w="252" w:type="pct"/>
          </w:tcPr>
          <w:p w14:paraId="64798249" w14:textId="77777777" w:rsidR="00F3481E" w:rsidRPr="002F0252" w:rsidRDefault="00DF728B" w:rsidP="005D0541">
            <w:r w:rsidRPr="002F0252">
              <w:t>2016</w:t>
            </w:r>
          </w:p>
        </w:tc>
        <w:tc>
          <w:tcPr>
            <w:tcW w:w="682" w:type="pct"/>
          </w:tcPr>
          <w:p w14:paraId="24882601" w14:textId="77777777" w:rsidR="00F3481E" w:rsidRPr="002F0252" w:rsidRDefault="00DF728B" w:rsidP="005D0541">
            <w:r w:rsidRPr="002F0252">
              <w:t>A cost-effectiveness study was conducted in the Netherlands to compare initial triple DMARD therapy compared with methotrexate monotherapy in early rheumatoid arthritis.</w:t>
            </w:r>
          </w:p>
        </w:tc>
        <w:tc>
          <w:tcPr>
            <w:tcW w:w="649" w:type="pct"/>
          </w:tcPr>
          <w:p w14:paraId="1626B507" w14:textId="77777777" w:rsidR="00F3481E" w:rsidRPr="002F0252" w:rsidRDefault="00DF728B" w:rsidP="00DF728B">
            <w:r w:rsidRPr="002F0252">
              <w:t xml:space="preserve">Initial triple therapy cost Euro 12,748, compared with Euro17,408 for the initial monotherapy. </w:t>
            </w:r>
          </w:p>
        </w:tc>
        <w:tc>
          <w:tcPr>
            <w:tcW w:w="578" w:type="pct"/>
          </w:tcPr>
          <w:p w14:paraId="65FB9E04" w14:textId="77777777" w:rsidR="00F3481E" w:rsidRPr="002F0252" w:rsidRDefault="00DF728B" w:rsidP="005D0541">
            <w:r w:rsidRPr="002F0252">
              <w:t>There was no cost saving to using initial monotherapy in the treatment of early rheumatoid arthritis.</w:t>
            </w:r>
          </w:p>
        </w:tc>
        <w:tc>
          <w:tcPr>
            <w:tcW w:w="879" w:type="pct"/>
          </w:tcPr>
          <w:p w14:paraId="00E9DC71" w14:textId="77777777" w:rsidR="00F3481E" w:rsidRPr="002F0252" w:rsidRDefault="00DF728B" w:rsidP="00DF728B">
            <w:r w:rsidRPr="002F0252">
              <w:t>Initial triple therapy was more cost-effective and had better worker productivity compared with initial monotherapy.</w:t>
            </w:r>
          </w:p>
        </w:tc>
        <w:tc>
          <w:tcPr>
            <w:tcW w:w="879" w:type="pct"/>
          </w:tcPr>
          <w:p w14:paraId="26BA9E7D" w14:textId="77777777" w:rsidR="00F3481E" w:rsidRPr="002F0252" w:rsidRDefault="00DF728B" w:rsidP="005D0541">
            <w:r w:rsidRPr="002F0252">
              <w:t>Strong</w:t>
            </w:r>
          </w:p>
        </w:tc>
      </w:tr>
      <w:tr w:rsidR="00F3481E" w:rsidRPr="002F0252" w14:paraId="497EE705" w14:textId="77777777" w:rsidTr="005D0541">
        <w:tc>
          <w:tcPr>
            <w:tcW w:w="647" w:type="pct"/>
          </w:tcPr>
          <w:p w14:paraId="33D74615" w14:textId="77777777" w:rsidR="00F3481E" w:rsidRPr="002F0252" w:rsidRDefault="00A43F46" w:rsidP="005D0541">
            <w:r w:rsidRPr="002F0252">
              <w:t>Rheumatoid arthritis</w:t>
            </w:r>
          </w:p>
        </w:tc>
        <w:tc>
          <w:tcPr>
            <w:tcW w:w="434" w:type="pct"/>
          </w:tcPr>
          <w:p w14:paraId="64A87389" w14:textId="77777777" w:rsidR="00F3481E" w:rsidRPr="002F0252" w:rsidRDefault="00A43F46" w:rsidP="005D0541">
            <w:r w:rsidRPr="002F0252">
              <w:t>Noben et al</w:t>
            </w:r>
          </w:p>
        </w:tc>
        <w:tc>
          <w:tcPr>
            <w:tcW w:w="252" w:type="pct"/>
          </w:tcPr>
          <w:p w14:paraId="2D653BCB" w14:textId="77777777" w:rsidR="00F3481E" w:rsidRPr="002F0252" w:rsidRDefault="00A43F46" w:rsidP="005D0541">
            <w:r w:rsidRPr="002F0252">
              <w:t>2017</w:t>
            </w:r>
          </w:p>
        </w:tc>
        <w:tc>
          <w:tcPr>
            <w:tcW w:w="682" w:type="pct"/>
          </w:tcPr>
          <w:p w14:paraId="1FB3993D" w14:textId="77777777" w:rsidR="00F3481E" w:rsidRPr="002F0252" w:rsidRDefault="00A43F46" w:rsidP="005D0541">
            <w:r w:rsidRPr="002F0252">
              <w:t xml:space="preserve">An economic evaluation was carried out in The Netherlands of an intervention programme with the aim to improve at work productivity for </w:t>
            </w:r>
            <w:r w:rsidRPr="002F0252">
              <w:lastRenderedPageBreak/>
              <w:t>workers with rheumatoid arthritis, and no severe comorbidities.</w:t>
            </w:r>
          </w:p>
        </w:tc>
        <w:tc>
          <w:tcPr>
            <w:tcW w:w="649" w:type="pct"/>
          </w:tcPr>
          <w:p w14:paraId="480A7F5E" w14:textId="77777777" w:rsidR="00F3481E" w:rsidRPr="002F0252" w:rsidRDefault="00A43F46" w:rsidP="00A43F46">
            <w:r w:rsidRPr="002F0252">
              <w:lastRenderedPageBreak/>
              <w:t xml:space="preserve">The average costs after twelve months follow </w:t>
            </w:r>
            <w:r w:rsidR="00EC534D" w:rsidRPr="002F0252">
              <w:t>u</w:t>
            </w:r>
            <w:r w:rsidRPr="002F0252">
              <w:t>p was Euro7,437.76</w:t>
            </w:r>
            <w:r w:rsidR="00F54D07" w:rsidRPr="002F0252">
              <w:t xml:space="preserve"> in 2013</w:t>
            </w:r>
            <w:r w:rsidRPr="002F0252">
              <w:t xml:space="preserve"> for the intervention group and Euro5,758.23 </w:t>
            </w:r>
            <w:r w:rsidR="00F54D07" w:rsidRPr="002F0252">
              <w:t xml:space="preserve">in 2013 </w:t>
            </w:r>
            <w:r w:rsidRPr="002F0252">
              <w:t xml:space="preserve">for the </w:t>
            </w:r>
            <w:r w:rsidRPr="002F0252">
              <w:lastRenderedPageBreak/>
              <w:t>care as usual group.</w:t>
            </w:r>
          </w:p>
        </w:tc>
        <w:tc>
          <w:tcPr>
            <w:tcW w:w="578" w:type="pct"/>
          </w:tcPr>
          <w:p w14:paraId="55C51A8E" w14:textId="77777777" w:rsidR="00F3481E" w:rsidRPr="002F0252" w:rsidRDefault="00A43F46" w:rsidP="005D0541">
            <w:r w:rsidRPr="002F0252">
              <w:lastRenderedPageBreak/>
              <w:t>There was no cost saving to using an integrated workplace intervention programme.</w:t>
            </w:r>
          </w:p>
        </w:tc>
        <w:tc>
          <w:tcPr>
            <w:tcW w:w="879" w:type="pct"/>
          </w:tcPr>
          <w:p w14:paraId="05989886" w14:textId="77777777" w:rsidR="00F3481E" w:rsidRPr="002F0252" w:rsidRDefault="00A43F46" w:rsidP="005D0541">
            <w:r w:rsidRPr="002F0252">
              <w:t xml:space="preserve">The integrated care intervention and participatory workplace intervention for workers with rheumatoid arthritis did not show any gains in productivity in the workplace or in quality </w:t>
            </w:r>
            <w:r w:rsidRPr="002F0252">
              <w:lastRenderedPageBreak/>
              <w:t>of life, therefore additional costs cannot be justified.</w:t>
            </w:r>
          </w:p>
        </w:tc>
        <w:tc>
          <w:tcPr>
            <w:tcW w:w="879" w:type="pct"/>
          </w:tcPr>
          <w:p w14:paraId="4A20057A" w14:textId="77777777" w:rsidR="00F3481E" w:rsidRPr="002F0252" w:rsidRDefault="00A43F46" w:rsidP="005D0541">
            <w:r w:rsidRPr="002F0252">
              <w:lastRenderedPageBreak/>
              <w:t>Strong</w:t>
            </w:r>
          </w:p>
        </w:tc>
      </w:tr>
    </w:tbl>
    <w:p w14:paraId="24719285" w14:textId="77777777" w:rsidR="00576A59" w:rsidRPr="002F0252" w:rsidRDefault="00576A59" w:rsidP="00556C47">
      <w:pPr>
        <w:rPr>
          <w:b/>
        </w:rPr>
      </w:pPr>
    </w:p>
    <w:p w14:paraId="340EBAC7" w14:textId="77777777" w:rsidR="00576A59" w:rsidRPr="002F0252" w:rsidRDefault="00576A59">
      <w:pPr>
        <w:rPr>
          <w:b/>
        </w:rPr>
      </w:pPr>
      <w:r w:rsidRPr="002F0252">
        <w:rPr>
          <w:b/>
        </w:rPr>
        <w:br w:type="page"/>
      </w:r>
    </w:p>
    <w:p w14:paraId="3420428E" w14:textId="77777777" w:rsidR="00D7729D" w:rsidRPr="002F0252" w:rsidRDefault="00D7729D" w:rsidP="00556C47">
      <w:pPr>
        <w:rPr>
          <w:b/>
        </w:rPr>
      </w:pPr>
    </w:p>
    <w:p w14:paraId="54A60864" w14:textId="2963D65D" w:rsidR="00576A59" w:rsidRPr="002F0252" w:rsidRDefault="002D412F" w:rsidP="00576A59">
      <w:pPr>
        <w:rPr>
          <w:b/>
        </w:rPr>
      </w:pPr>
      <w:r w:rsidRPr="002F0252">
        <w:rPr>
          <w:b/>
        </w:rPr>
        <w:t xml:space="preserve">Table </w:t>
      </w:r>
      <w:r w:rsidR="00880431">
        <w:rPr>
          <w:b/>
        </w:rPr>
        <w:t>4.</w:t>
      </w:r>
      <w:r w:rsidRPr="002F0252">
        <w:rPr>
          <w:b/>
        </w:rPr>
        <w:t>10</w:t>
      </w:r>
      <w:r w:rsidR="00576A59" w:rsidRPr="002F0252">
        <w:rPr>
          <w:b/>
        </w:rPr>
        <w:t xml:space="preserve"> </w:t>
      </w:r>
      <w:r w:rsidR="00576A59" w:rsidRPr="002F0252">
        <w:rPr>
          <w:b/>
        </w:rPr>
        <w:tab/>
        <w:t>Interventions to reduce work disability related to migraine</w:t>
      </w:r>
    </w:p>
    <w:tbl>
      <w:tblPr>
        <w:tblStyle w:val="TableGrid"/>
        <w:tblW w:w="5000" w:type="pct"/>
        <w:tblLook w:val="04A0" w:firstRow="1" w:lastRow="0" w:firstColumn="1" w:lastColumn="0" w:noHBand="0" w:noVBand="1"/>
      </w:tblPr>
      <w:tblGrid>
        <w:gridCol w:w="1805"/>
        <w:gridCol w:w="1211"/>
        <w:gridCol w:w="703"/>
        <w:gridCol w:w="1903"/>
        <w:gridCol w:w="1810"/>
        <w:gridCol w:w="1612"/>
        <w:gridCol w:w="2452"/>
        <w:gridCol w:w="2452"/>
      </w:tblGrid>
      <w:tr w:rsidR="00576A59" w:rsidRPr="002F0252" w14:paraId="542D5716" w14:textId="77777777" w:rsidTr="00576A59">
        <w:tc>
          <w:tcPr>
            <w:tcW w:w="647" w:type="pct"/>
          </w:tcPr>
          <w:p w14:paraId="009CD71F" w14:textId="77777777" w:rsidR="00576A59" w:rsidRPr="002F0252" w:rsidRDefault="00576A59" w:rsidP="00576A59">
            <w:pPr>
              <w:rPr>
                <w:b/>
              </w:rPr>
            </w:pPr>
            <w:r w:rsidRPr="002F0252">
              <w:rPr>
                <w:b/>
              </w:rPr>
              <w:t>Category of Initiative</w:t>
            </w:r>
          </w:p>
        </w:tc>
        <w:tc>
          <w:tcPr>
            <w:tcW w:w="434" w:type="pct"/>
          </w:tcPr>
          <w:p w14:paraId="1BF57E3B" w14:textId="77777777" w:rsidR="00576A59" w:rsidRPr="002F0252" w:rsidRDefault="00576A59" w:rsidP="00576A59">
            <w:pPr>
              <w:rPr>
                <w:b/>
              </w:rPr>
            </w:pPr>
            <w:r w:rsidRPr="002F0252">
              <w:rPr>
                <w:b/>
              </w:rPr>
              <w:t>Author</w:t>
            </w:r>
          </w:p>
        </w:tc>
        <w:tc>
          <w:tcPr>
            <w:tcW w:w="252" w:type="pct"/>
          </w:tcPr>
          <w:p w14:paraId="33F8593B" w14:textId="77777777" w:rsidR="00576A59" w:rsidRPr="002F0252" w:rsidRDefault="00576A59" w:rsidP="00576A59">
            <w:pPr>
              <w:rPr>
                <w:b/>
              </w:rPr>
            </w:pPr>
            <w:r w:rsidRPr="002F0252">
              <w:rPr>
                <w:b/>
              </w:rPr>
              <w:t xml:space="preserve">Date </w:t>
            </w:r>
          </w:p>
        </w:tc>
        <w:tc>
          <w:tcPr>
            <w:tcW w:w="682" w:type="pct"/>
          </w:tcPr>
          <w:p w14:paraId="5983E976" w14:textId="77777777" w:rsidR="00576A59" w:rsidRPr="002F0252" w:rsidRDefault="00576A59" w:rsidP="00576A59">
            <w:pPr>
              <w:rPr>
                <w:b/>
              </w:rPr>
            </w:pPr>
            <w:r w:rsidRPr="002F0252">
              <w:rPr>
                <w:b/>
              </w:rPr>
              <w:t>Main finding</w:t>
            </w:r>
          </w:p>
        </w:tc>
        <w:tc>
          <w:tcPr>
            <w:tcW w:w="649" w:type="pct"/>
          </w:tcPr>
          <w:p w14:paraId="34A03ED4" w14:textId="77777777" w:rsidR="00576A59" w:rsidRPr="002F0252" w:rsidRDefault="00576A59" w:rsidP="00576A59">
            <w:pPr>
              <w:rPr>
                <w:b/>
              </w:rPr>
            </w:pPr>
            <w:r w:rsidRPr="002F0252">
              <w:rPr>
                <w:b/>
              </w:rPr>
              <w:t>Cost implication</w:t>
            </w:r>
          </w:p>
        </w:tc>
        <w:tc>
          <w:tcPr>
            <w:tcW w:w="578" w:type="pct"/>
          </w:tcPr>
          <w:p w14:paraId="02971CD7" w14:textId="77777777" w:rsidR="00576A59" w:rsidRPr="002F0252" w:rsidRDefault="00576A59" w:rsidP="00576A59">
            <w:pPr>
              <w:rPr>
                <w:b/>
              </w:rPr>
            </w:pPr>
            <w:r w:rsidRPr="002F0252">
              <w:rPr>
                <w:b/>
              </w:rPr>
              <w:t xml:space="preserve">Cost saving </w:t>
            </w:r>
          </w:p>
        </w:tc>
        <w:tc>
          <w:tcPr>
            <w:tcW w:w="879" w:type="pct"/>
          </w:tcPr>
          <w:p w14:paraId="7A3A2511" w14:textId="77777777" w:rsidR="00576A59" w:rsidRPr="002F0252" w:rsidRDefault="00576A59" w:rsidP="00576A59">
            <w:pPr>
              <w:rPr>
                <w:b/>
              </w:rPr>
            </w:pPr>
            <w:r w:rsidRPr="002F0252">
              <w:rPr>
                <w:b/>
              </w:rPr>
              <w:t>Recommendation</w:t>
            </w:r>
          </w:p>
          <w:p w14:paraId="23ACE987" w14:textId="77777777" w:rsidR="00576A59" w:rsidRPr="002F0252" w:rsidRDefault="00576A59" w:rsidP="00576A59">
            <w:pPr>
              <w:ind w:firstLine="720"/>
            </w:pPr>
          </w:p>
        </w:tc>
        <w:tc>
          <w:tcPr>
            <w:tcW w:w="879" w:type="pct"/>
          </w:tcPr>
          <w:p w14:paraId="3B879D43" w14:textId="77777777" w:rsidR="00576A59" w:rsidRPr="002F0252" w:rsidRDefault="00576A59" w:rsidP="00576A59">
            <w:pPr>
              <w:rPr>
                <w:b/>
              </w:rPr>
            </w:pPr>
            <w:r w:rsidRPr="002F0252">
              <w:rPr>
                <w:b/>
              </w:rPr>
              <w:t>Strength of evidence</w:t>
            </w:r>
          </w:p>
          <w:p w14:paraId="5CA8D62D" w14:textId="77777777" w:rsidR="00576A59" w:rsidRPr="002F0252" w:rsidRDefault="00576A59" w:rsidP="00576A59">
            <w:pPr>
              <w:rPr>
                <w:b/>
              </w:rPr>
            </w:pPr>
            <w:r w:rsidRPr="002F0252">
              <w:rPr>
                <w:b/>
              </w:rPr>
              <w:t>(weak, moderate, strong)</w:t>
            </w:r>
          </w:p>
        </w:tc>
      </w:tr>
      <w:tr w:rsidR="00576A59" w:rsidRPr="002F0252" w14:paraId="69CB7FD1" w14:textId="77777777" w:rsidTr="00576A59">
        <w:tc>
          <w:tcPr>
            <w:tcW w:w="647" w:type="pct"/>
          </w:tcPr>
          <w:p w14:paraId="6A72BF8E" w14:textId="77777777" w:rsidR="00576A59" w:rsidRPr="002F0252" w:rsidRDefault="00576A59" w:rsidP="00576A59">
            <w:r w:rsidRPr="002F0252">
              <w:t>Migraine</w:t>
            </w:r>
          </w:p>
        </w:tc>
        <w:tc>
          <w:tcPr>
            <w:tcW w:w="434" w:type="pct"/>
          </w:tcPr>
          <w:p w14:paraId="4F2B9F40" w14:textId="77777777" w:rsidR="00576A59" w:rsidRPr="002F0252" w:rsidRDefault="00576A59" w:rsidP="00576A59">
            <w:r w:rsidRPr="002F0252">
              <w:t>Legg et al</w:t>
            </w:r>
          </w:p>
        </w:tc>
        <w:tc>
          <w:tcPr>
            <w:tcW w:w="252" w:type="pct"/>
          </w:tcPr>
          <w:p w14:paraId="57892CF8" w14:textId="77777777" w:rsidR="00576A59" w:rsidRPr="002F0252" w:rsidRDefault="00576A59" w:rsidP="00576A59">
            <w:r w:rsidRPr="002F0252">
              <w:t>1997</w:t>
            </w:r>
          </w:p>
        </w:tc>
        <w:tc>
          <w:tcPr>
            <w:tcW w:w="682" w:type="pct"/>
          </w:tcPr>
          <w:p w14:paraId="448F1450" w14:textId="77777777" w:rsidR="00576A59" w:rsidRPr="002F0252" w:rsidRDefault="00576A59" w:rsidP="00576A59">
            <w:r w:rsidRPr="002F0252">
              <w:t>The authors investigated the cost benefit of using sumatriptan as a treatment for migraine headaches to improve work productivity.</w:t>
            </w:r>
          </w:p>
        </w:tc>
        <w:tc>
          <w:tcPr>
            <w:tcW w:w="649" w:type="pct"/>
          </w:tcPr>
          <w:p w14:paraId="400B2252" w14:textId="77777777" w:rsidR="00576A59" w:rsidRPr="002F0252" w:rsidRDefault="00576A59" w:rsidP="00576A59">
            <w:r w:rsidRPr="002F0252">
              <w:t>The cost of sumatriptan was $43.78 per month in 1997, and the reduction in lost productivity was valued at $435 US dollars per month in 1997.</w:t>
            </w:r>
          </w:p>
        </w:tc>
        <w:tc>
          <w:tcPr>
            <w:tcW w:w="578" w:type="pct"/>
          </w:tcPr>
          <w:p w14:paraId="063074CA" w14:textId="77777777" w:rsidR="00576A59" w:rsidRPr="002F0252" w:rsidRDefault="00576A59" w:rsidP="00576A59">
            <w:r w:rsidRPr="002F0252">
              <w:t>The benefit to cost ratio is 10:1.</w:t>
            </w:r>
          </w:p>
        </w:tc>
        <w:tc>
          <w:tcPr>
            <w:tcW w:w="879" w:type="pct"/>
          </w:tcPr>
          <w:p w14:paraId="0BFD2A6D" w14:textId="77777777" w:rsidR="00576A59" w:rsidRPr="002F0252" w:rsidRDefault="00576A59" w:rsidP="00576A59">
            <w:r w:rsidRPr="002F0252">
              <w:t xml:space="preserve">The availability of sumatriptan for </w:t>
            </w:r>
            <w:r w:rsidR="001509E6" w:rsidRPr="002F0252">
              <w:t xml:space="preserve">migraine headache </w:t>
            </w:r>
            <w:r w:rsidR="00B75F27" w:rsidRPr="002F0252">
              <w:t>improves work productivity and has a net benefit for employers.</w:t>
            </w:r>
          </w:p>
        </w:tc>
        <w:tc>
          <w:tcPr>
            <w:tcW w:w="879" w:type="pct"/>
          </w:tcPr>
          <w:p w14:paraId="0A513E30" w14:textId="77777777" w:rsidR="00576A59" w:rsidRPr="002F0252" w:rsidRDefault="00D42BE4" w:rsidP="00576A59">
            <w:r w:rsidRPr="002F0252">
              <w:t>Strong</w:t>
            </w:r>
          </w:p>
        </w:tc>
      </w:tr>
    </w:tbl>
    <w:p w14:paraId="3EF36099" w14:textId="77777777" w:rsidR="001660C0" w:rsidRPr="002F0252" w:rsidRDefault="001660C0" w:rsidP="00556C47">
      <w:pPr>
        <w:rPr>
          <w:b/>
        </w:rPr>
      </w:pPr>
    </w:p>
    <w:p w14:paraId="19CDA819" w14:textId="77777777" w:rsidR="001660C0" w:rsidRPr="002F0252" w:rsidRDefault="001660C0">
      <w:pPr>
        <w:rPr>
          <w:b/>
        </w:rPr>
      </w:pPr>
      <w:r w:rsidRPr="002F0252">
        <w:rPr>
          <w:b/>
        </w:rPr>
        <w:br w:type="page"/>
      </w:r>
    </w:p>
    <w:p w14:paraId="01B68ABF" w14:textId="77777777" w:rsidR="00D7729D" w:rsidRPr="002F0252" w:rsidRDefault="00D7729D" w:rsidP="00556C47">
      <w:pPr>
        <w:rPr>
          <w:b/>
        </w:rPr>
      </w:pPr>
    </w:p>
    <w:p w14:paraId="52F575B0" w14:textId="00BBD6DD" w:rsidR="001660C0" w:rsidRPr="002F0252" w:rsidRDefault="002D412F" w:rsidP="001660C0">
      <w:pPr>
        <w:rPr>
          <w:b/>
        </w:rPr>
      </w:pPr>
      <w:r w:rsidRPr="002F0252">
        <w:rPr>
          <w:b/>
        </w:rPr>
        <w:t xml:space="preserve">Table </w:t>
      </w:r>
      <w:r w:rsidR="00880431">
        <w:rPr>
          <w:b/>
        </w:rPr>
        <w:t>4.</w:t>
      </w:r>
      <w:r w:rsidRPr="002F0252">
        <w:rPr>
          <w:b/>
        </w:rPr>
        <w:t>11</w:t>
      </w:r>
      <w:r w:rsidR="001660C0" w:rsidRPr="002F0252">
        <w:rPr>
          <w:b/>
        </w:rPr>
        <w:tab/>
        <w:t>Interventions to reduce work disability and increase productivity</w:t>
      </w:r>
    </w:p>
    <w:p w14:paraId="2DB0B28A" w14:textId="77777777" w:rsidR="001660C0" w:rsidRPr="002F0252" w:rsidRDefault="001660C0" w:rsidP="001660C0">
      <w:pPr>
        <w:rPr>
          <w:b/>
        </w:rPr>
      </w:pPr>
    </w:p>
    <w:tbl>
      <w:tblPr>
        <w:tblStyle w:val="TableGrid"/>
        <w:tblW w:w="5000" w:type="pct"/>
        <w:tblLook w:val="04A0" w:firstRow="1" w:lastRow="0" w:firstColumn="1" w:lastColumn="0" w:noHBand="0" w:noVBand="1"/>
      </w:tblPr>
      <w:tblGrid>
        <w:gridCol w:w="1803"/>
        <w:gridCol w:w="1209"/>
        <w:gridCol w:w="703"/>
        <w:gridCol w:w="1900"/>
        <w:gridCol w:w="1808"/>
        <w:gridCol w:w="1624"/>
        <w:gridCol w:w="2449"/>
        <w:gridCol w:w="2452"/>
      </w:tblGrid>
      <w:tr w:rsidR="001660C0" w:rsidRPr="002F0252" w14:paraId="20B01E91" w14:textId="77777777" w:rsidTr="001B4DEF">
        <w:tc>
          <w:tcPr>
            <w:tcW w:w="646" w:type="pct"/>
          </w:tcPr>
          <w:p w14:paraId="6EBE1B31" w14:textId="77777777" w:rsidR="001660C0" w:rsidRPr="002F0252" w:rsidRDefault="001660C0" w:rsidP="00F62CF2">
            <w:pPr>
              <w:rPr>
                <w:b/>
              </w:rPr>
            </w:pPr>
            <w:r w:rsidRPr="002F0252">
              <w:rPr>
                <w:b/>
              </w:rPr>
              <w:t>Category of Initiative</w:t>
            </w:r>
          </w:p>
        </w:tc>
        <w:tc>
          <w:tcPr>
            <w:tcW w:w="433" w:type="pct"/>
          </w:tcPr>
          <w:p w14:paraId="0E261673" w14:textId="77777777" w:rsidR="001660C0" w:rsidRPr="002F0252" w:rsidRDefault="001660C0" w:rsidP="00F62CF2">
            <w:pPr>
              <w:rPr>
                <w:b/>
              </w:rPr>
            </w:pPr>
            <w:r w:rsidRPr="002F0252">
              <w:rPr>
                <w:b/>
              </w:rPr>
              <w:t>Author</w:t>
            </w:r>
          </w:p>
        </w:tc>
        <w:tc>
          <w:tcPr>
            <w:tcW w:w="252" w:type="pct"/>
          </w:tcPr>
          <w:p w14:paraId="6637DFC4" w14:textId="77777777" w:rsidR="001660C0" w:rsidRPr="002F0252" w:rsidRDefault="001660C0" w:rsidP="00F62CF2">
            <w:pPr>
              <w:rPr>
                <w:b/>
              </w:rPr>
            </w:pPr>
            <w:r w:rsidRPr="002F0252">
              <w:rPr>
                <w:b/>
              </w:rPr>
              <w:t xml:space="preserve">Date </w:t>
            </w:r>
          </w:p>
        </w:tc>
        <w:tc>
          <w:tcPr>
            <w:tcW w:w="681" w:type="pct"/>
          </w:tcPr>
          <w:p w14:paraId="08903F91" w14:textId="77777777" w:rsidR="001660C0" w:rsidRPr="002F0252" w:rsidRDefault="001660C0" w:rsidP="00F62CF2">
            <w:pPr>
              <w:rPr>
                <w:b/>
              </w:rPr>
            </w:pPr>
            <w:r w:rsidRPr="002F0252">
              <w:rPr>
                <w:b/>
              </w:rPr>
              <w:t>Main finding</w:t>
            </w:r>
          </w:p>
        </w:tc>
        <w:tc>
          <w:tcPr>
            <w:tcW w:w="648" w:type="pct"/>
          </w:tcPr>
          <w:p w14:paraId="20E35D98" w14:textId="77777777" w:rsidR="001660C0" w:rsidRPr="002F0252" w:rsidRDefault="001660C0" w:rsidP="00F62CF2">
            <w:pPr>
              <w:rPr>
                <w:b/>
              </w:rPr>
            </w:pPr>
            <w:r w:rsidRPr="002F0252">
              <w:rPr>
                <w:b/>
              </w:rPr>
              <w:t>Cost implication</w:t>
            </w:r>
          </w:p>
        </w:tc>
        <w:tc>
          <w:tcPr>
            <w:tcW w:w="582" w:type="pct"/>
          </w:tcPr>
          <w:p w14:paraId="4D8A415F" w14:textId="77777777" w:rsidR="001660C0" w:rsidRPr="002F0252" w:rsidRDefault="001660C0" w:rsidP="00F62CF2">
            <w:pPr>
              <w:rPr>
                <w:b/>
              </w:rPr>
            </w:pPr>
            <w:r w:rsidRPr="002F0252">
              <w:rPr>
                <w:b/>
              </w:rPr>
              <w:t xml:space="preserve">Cost saving </w:t>
            </w:r>
          </w:p>
        </w:tc>
        <w:tc>
          <w:tcPr>
            <w:tcW w:w="878" w:type="pct"/>
          </w:tcPr>
          <w:p w14:paraId="4BFAB958" w14:textId="77777777" w:rsidR="001660C0" w:rsidRPr="002F0252" w:rsidRDefault="001660C0" w:rsidP="00F62CF2">
            <w:pPr>
              <w:rPr>
                <w:b/>
              </w:rPr>
            </w:pPr>
            <w:r w:rsidRPr="002F0252">
              <w:rPr>
                <w:b/>
              </w:rPr>
              <w:t>Recommendation</w:t>
            </w:r>
          </w:p>
          <w:p w14:paraId="6CA54B05" w14:textId="77777777" w:rsidR="001660C0" w:rsidRPr="002F0252" w:rsidRDefault="001660C0" w:rsidP="00F62CF2">
            <w:pPr>
              <w:ind w:firstLine="720"/>
            </w:pPr>
          </w:p>
        </w:tc>
        <w:tc>
          <w:tcPr>
            <w:tcW w:w="879" w:type="pct"/>
          </w:tcPr>
          <w:p w14:paraId="1C3BE7CB" w14:textId="77777777" w:rsidR="001660C0" w:rsidRPr="002F0252" w:rsidRDefault="001660C0" w:rsidP="00F62CF2">
            <w:pPr>
              <w:rPr>
                <w:b/>
              </w:rPr>
            </w:pPr>
            <w:r w:rsidRPr="002F0252">
              <w:rPr>
                <w:b/>
              </w:rPr>
              <w:t>Strength of evidence</w:t>
            </w:r>
          </w:p>
          <w:p w14:paraId="41381CA8" w14:textId="77777777" w:rsidR="001660C0" w:rsidRPr="002F0252" w:rsidRDefault="001660C0" w:rsidP="00F62CF2">
            <w:pPr>
              <w:rPr>
                <w:b/>
              </w:rPr>
            </w:pPr>
            <w:r w:rsidRPr="002F0252">
              <w:rPr>
                <w:b/>
              </w:rPr>
              <w:t>(weak, moderate, strong)</w:t>
            </w:r>
          </w:p>
        </w:tc>
      </w:tr>
      <w:tr w:rsidR="001660C0" w:rsidRPr="002F0252" w14:paraId="4A831EBA" w14:textId="77777777" w:rsidTr="001B4DEF">
        <w:tc>
          <w:tcPr>
            <w:tcW w:w="646" w:type="pct"/>
          </w:tcPr>
          <w:p w14:paraId="1F9169BC" w14:textId="77777777" w:rsidR="001660C0" w:rsidRPr="002F0252" w:rsidRDefault="001660C0" w:rsidP="00F62CF2">
            <w:r w:rsidRPr="002F0252">
              <w:t>Interventions to increase productivity</w:t>
            </w:r>
            <w:r w:rsidR="003428F5" w:rsidRPr="002F0252">
              <w:t xml:space="preserve"> (Disability Management Programme)</w:t>
            </w:r>
          </w:p>
        </w:tc>
        <w:tc>
          <w:tcPr>
            <w:tcW w:w="433" w:type="pct"/>
          </w:tcPr>
          <w:p w14:paraId="28920899" w14:textId="77777777" w:rsidR="001660C0" w:rsidRPr="002F0252" w:rsidRDefault="001660C0" w:rsidP="00F62CF2">
            <w:r w:rsidRPr="002F0252">
              <w:t>Skisak et al</w:t>
            </w:r>
          </w:p>
        </w:tc>
        <w:tc>
          <w:tcPr>
            <w:tcW w:w="252" w:type="pct"/>
          </w:tcPr>
          <w:p w14:paraId="05608B03" w14:textId="77777777" w:rsidR="001660C0" w:rsidRPr="002F0252" w:rsidRDefault="001660C0" w:rsidP="00F62CF2">
            <w:r w:rsidRPr="002F0252">
              <w:t>2006</w:t>
            </w:r>
          </w:p>
        </w:tc>
        <w:tc>
          <w:tcPr>
            <w:tcW w:w="681" w:type="pct"/>
          </w:tcPr>
          <w:p w14:paraId="63C192C2" w14:textId="77777777" w:rsidR="001660C0" w:rsidRPr="002F0252" w:rsidRDefault="008D6934" w:rsidP="00F62CF2">
            <w:r w:rsidRPr="002F0252">
              <w:t>An internet based case management tool, Medgate resulted in a more than four to one return on investment based on direct expenditures and cost savings in terms of reduced absence days.</w:t>
            </w:r>
          </w:p>
        </w:tc>
        <w:tc>
          <w:tcPr>
            <w:tcW w:w="648" w:type="pct"/>
          </w:tcPr>
          <w:p w14:paraId="1427FDD0" w14:textId="77777777" w:rsidR="001660C0" w:rsidRPr="002F0252" w:rsidRDefault="008D6934" w:rsidP="008D6934">
            <w:r w:rsidRPr="002F0252">
              <w:t xml:space="preserve">The direct expenditure was $500,000 </w:t>
            </w:r>
          </w:p>
        </w:tc>
        <w:tc>
          <w:tcPr>
            <w:tcW w:w="582" w:type="pct"/>
          </w:tcPr>
          <w:p w14:paraId="5D40C62A" w14:textId="77777777" w:rsidR="001660C0" w:rsidRPr="002F0252" w:rsidRDefault="008D6934" w:rsidP="008D6934">
            <w:r w:rsidRPr="002F0252">
              <w:t>The savings were approximately $2,300,000. A more than four to one return on investment.</w:t>
            </w:r>
          </w:p>
        </w:tc>
        <w:tc>
          <w:tcPr>
            <w:tcW w:w="878" w:type="pct"/>
          </w:tcPr>
          <w:p w14:paraId="18FF1C8A" w14:textId="77777777" w:rsidR="001660C0" w:rsidRPr="002F0252" w:rsidRDefault="008D6934" w:rsidP="00F62CF2">
            <w:r w:rsidRPr="002F0252">
              <w:t>The in-house disability management program was successful by absence duration, employee satisfaction and return on investment criteria.</w:t>
            </w:r>
          </w:p>
        </w:tc>
        <w:tc>
          <w:tcPr>
            <w:tcW w:w="879" w:type="pct"/>
          </w:tcPr>
          <w:p w14:paraId="0DF6A776" w14:textId="77777777" w:rsidR="001660C0" w:rsidRPr="002F0252" w:rsidRDefault="008D6934" w:rsidP="00F62CF2">
            <w:r w:rsidRPr="002F0252">
              <w:t>Strong</w:t>
            </w:r>
          </w:p>
        </w:tc>
      </w:tr>
    </w:tbl>
    <w:p w14:paraId="233E9CA4" w14:textId="77777777" w:rsidR="003428F5" w:rsidRPr="002F0252" w:rsidRDefault="003428F5" w:rsidP="00556C47">
      <w:pPr>
        <w:rPr>
          <w:b/>
        </w:rPr>
      </w:pPr>
    </w:p>
    <w:p w14:paraId="340BF59A" w14:textId="77777777" w:rsidR="003428F5" w:rsidRPr="002F0252" w:rsidRDefault="003428F5">
      <w:pPr>
        <w:rPr>
          <w:b/>
        </w:rPr>
      </w:pPr>
      <w:r w:rsidRPr="002F0252">
        <w:rPr>
          <w:b/>
        </w:rPr>
        <w:br w:type="page"/>
      </w:r>
    </w:p>
    <w:p w14:paraId="49D9ED5C" w14:textId="77777777" w:rsidR="00D7729D" w:rsidRPr="002F0252" w:rsidRDefault="00D7729D" w:rsidP="00556C47">
      <w:pPr>
        <w:rPr>
          <w:b/>
        </w:rPr>
      </w:pPr>
    </w:p>
    <w:p w14:paraId="4873C926" w14:textId="6A11F705" w:rsidR="00200EF4" w:rsidRPr="002F0252" w:rsidRDefault="002D412F" w:rsidP="00200EF4">
      <w:pPr>
        <w:rPr>
          <w:b/>
        </w:rPr>
      </w:pPr>
      <w:r w:rsidRPr="002F0252">
        <w:rPr>
          <w:b/>
        </w:rPr>
        <w:t xml:space="preserve">Table </w:t>
      </w:r>
      <w:r w:rsidR="00880431">
        <w:rPr>
          <w:b/>
        </w:rPr>
        <w:t>4.</w:t>
      </w:r>
      <w:r w:rsidRPr="002F0252">
        <w:rPr>
          <w:b/>
        </w:rPr>
        <w:t>12</w:t>
      </w:r>
      <w:r w:rsidR="00200EF4" w:rsidRPr="002F0252">
        <w:rPr>
          <w:b/>
        </w:rPr>
        <w:t xml:space="preserve"> </w:t>
      </w:r>
      <w:r w:rsidR="00200EF4" w:rsidRPr="002F0252">
        <w:rPr>
          <w:b/>
        </w:rPr>
        <w:tab/>
        <w:t>Interventions to improve work participation of young adults with physical disabilities</w:t>
      </w:r>
    </w:p>
    <w:p w14:paraId="1CF891C5" w14:textId="77777777" w:rsidR="00200EF4" w:rsidRPr="002F0252" w:rsidRDefault="00200EF4" w:rsidP="00200EF4">
      <w:pPr>
        <w:rPr>
          <w:b/>
        </w:rPr>
      </w:pPr>
    </w:p>
    <w:tbl>
      <w:tblPr>
        <w:tblStyle w:val="TableGrid"/>
        <w:tblW w:w="5000" w:type="pct"/>
        <w:tblLook w:val="04A0" w:firstRow="1" w:lastRow="0" w:firstColumn="1" w:lastColumn="0" w:noHBand="0" w:noVBand="1"/>
      </w:tblPr>
      <w:tblGrid>
        <w:gridCol w:w="1805"/>
        <w:gridCol w:w="1211"/>
        <w:gridCol w:w="703"/>
        <w:gridCol w:w="1903"/>
        <w:gridCol w:w="1810"/>
        <w:gridCol w:w="1612"/>
        <w:gridCol w:w="2452"/>
        <w:gridCol w:w="2452"/>
      </w:tblGrid>
      <w:tr w:rsidR="00200EF4" w:rsidRPr="002F0252" w14:paraId="5ACF2DF5" w14:textId="77777777" w:rsidTr="00F62CF2">
        <w:tc>
          <w:tcPr>
            <w:tcW w:w="647" w:type="pct"/>
          </w:tcPr>
          <w:p w14:paraId="06FCF9AD" w14:textId="77777777" w:rsidR="00200EF4" w:rsidRPr="002F0252" w:rsidRDefault="00200EF4" w:rsidP="00F62CF2">
            <w:pPr>
              <w:rPr>
                <w:b/>
              </w:rPr>
            </w:pPr>
            <w:r w:rsidRPr="002F0252">
              <w:rPr>
                <w:b/>
              </w:rPr>
              <w:t>Category of Initiative</w:t>
            </w:r>
          </w:p>
        </w:tc>
        <w:tc>
          <w:tcPr>
            <w:tcW w:w="434" w:type="pct"/>
          </w:tcPr>
          <w:p w14:paraId="320323C9" w14:textId="77777777" w:rsidR="00200EF4" w:rsidRPr="002F0252" w:rsidRDefault="00200EF4" w:rsidP="00F62CF2">
            <w:pPr>
              <w:rPr>
                <w:b/>
              </w:rPr>
            </w:pPr>
            <w:r w:rsidRPr="002F0252">
              <w:rPr>
                <w:b/>
              </w:rPr>
              <w:t>Author</w:t>
            </w:r>
          </w:p>
        </w:tc>
        <w:tc>
          <w:tcPr>
            <w:tcW w:w="252" w:type="pct"/>
          </w:tcPr>
          <w:p w14:paraId="3D80A9DD" w14:textId="77777777" w:rsidR="00200EF4" w:rsidRPr="002F0252" w:rsidRDefault="00200EF4" w:rsidP="00F62CF2">
            <w:pPr>
              <w:rPr>
                <w:b/>
              </w:rPr>
            </w:pPr>
            <w:r w:rsidRPr="002F0252">
              <w:rPr>
                <w:b/>
              </w:rPr>
              <w:t xml:space="preserve">Date </w:t>
            </w:r>
          </w:p>
        </w:tc>
        <w:tc>
          <w:tcPr>
            <w:tcW w:w="682" w:type="pct"/>
          </w:tcPr>
          <w:p w14:paraId="0C0166F1" w14:textId="77777777" w:rsidR="00200EF4" w:rsidRPr="002F0252" w:rsidRDefault="00200EF4" w:rsidP="00F62CF2">
            <w:pPr>
              <w:rPr>
                <w:b/>
              </w:rPr>
            </w:pPr>
            <w:r w:rsidRPr="002F0252">
              <w:rPr>
                <w:b/>
              </w:rPr>
              <w:t>Main finding</w:t>
            </w:r>
          </w:p>
        </w:tc>
        <w:tc>
          <w:tcPr>
            <w:tcW w:w="649" w:type="pct"/>
          </w:tcPr>
          <w:p w14:paraId="2CD6F55B" w14:textId="77777777" w:rsidR="00200EF4" w:rsidRPr="002F0252" w:rsidRDefault="00200EF4" w:rsidP="00F62CF2">
            <w:pPr>
              <w:rPr>
                <w:b/>
              </w:rPr>
            </w:pPr>
            <w:r w:rsidRPr="002F0252">
              <w:rPr>
                <w:b/>
              </w:rPr>
              <w:t>Cost implication</w:t>
            </w:r>
          </w:p>
        </w:tc>
        <w:tc>
          <w:tcPr>
            <w:tcW w:w="578" w:type="pct"/>
          </w:tcPr>
          <w:p w14:paraId="4D8F7AAD" w14:textId="77777777" w:rsidR="00200EF4" w:rsidRPr="002F0252" w:rsidRDefault="00200EF4" w:rsidP="00F62CF2">
            <w:pPr>
              <w:rPr>
                <w:b/>
              </w:rPr>
            </w:pPr>
            <w:r w:rsidRPr="002F0252">
              <w:rPr>
                <w:b/>
              </w:rPr>
              <w:t xml:space="preserve">Cost saving </w:t>
            </w:r>
          </w:p>
        </w:tc>
        <w:tc>
          <w:tcPr>
            <w:tcW w:w="879" w:type="pct"/>
          </w:tcPr>
          <w:p w14:paraId="146217CA" w14:textId="77777777" w:rsidR="00200EF4" w:rsidRPr="002F0252" w:rsidRDefault="00200EF4" w:rsidP="00F62CF2">
            <w:pPr>
              <w:rPr>
                <w:b/>
              </w:rPr>
            </w:pPr>
            <w:r w:rsidRPr="002F0252">
              <w:rPr>
                <w:b/>
              </w:rPr>
              <w:t>Recommendation</w:t>
            </w:r>
          </w:p>
          <w:p w14:paraId="12376B2A" w14:textId="77777777" w:rsidR="00200EF4" w:rsidRPr="002F0252" w:rsidRDefault="00200EF4" w:rsidP="00F62CF2">
            <w:pPr>
              <w:ind w:firstLine="720"/>
            </w:pPr>
          </w:p>
        </w:tc>
        <w:tc>
          <w:tcPr>
            <w:tcW w:w="879" w:type="pct"/>
          </w:tcPr>
          <w:p w14:paraId="7316E85F" w14:textId="77777777" w:rsidR="00200EF4" w:rsidRPr="002F0252" w:rsidRDefault="00200EF4" w:rsidP="00F62CF2">
            <w:pPr>
              <w:rPr>
                <w:b/>
              </w:rPr>
            </w:pPr>
            <w:r w:rsidRPr="002F0252">
              <w:rPr>
                <w:b/>
              </w:rPr>
              <w:t>Strength of evidence</w:t>
            </w:r>
          </w:p>
          <w:p w14:paraId="50DD749B" w14:textId="77777777" w:rsidR="00200EF4" w:rsidRPr="002F0252" w:rsidRDefault="00200EF4" w:rsidP="00F62CF2">
            <w:pPr>
              <w:rPr>
                <w:b/>
              </w:rPr>
            </w:pPr>
            <w:r w:rsidRPr="002F0252">
              <w:rPr>
                <w:b/>
              </w:rPr>
              <w:t>(weak, moderate, strong)</w:t>
            </w:r>
          </w:p>
        </w:tc>
      </w:tr>
      <w:tr w:rsidR="00200EF4" w:rsidRPr="002F0252" w14:paraId="6C49F855" w14:textId="77777777" w:rsidTr="00F62CF2">
        <w:tc>
          <w:tcPr>
            <w:tcW w:w="647" w:type="pct"/>
          </w:tcPr>
          <w:p w14:paraId="5922ED10" w14:textId="77777777" w:rsidR="00200EF4" w:rsidRPr="002F0252" w:rsidRDefault="00200EF4" w:rsidP="00F62CF2">
            <w:r w:rsidRPr="002F0252">
              <w:t>Intervention to improve work participation of young adults with physical disabilities</w:t>
            </w:r>
          </w:p>
        </w:tc>
        <w:tc>
          <w:tcPr>
            <w:tcW w:w="434" w:type="pct"/>
          </w:tcPr>
          <w:p w14:paraId="2BED6F95" w14:textId="77777777" w:rsidR="00200EF4" w:rsidRPr="002F0252" w:rsidRDefault="00200EF4" w:rsidP="00F62CF2">
            <w:r w:rsidRPr="002F0252">
              <w:t xml:space="preserve">Verhoef et al </w:t>
            </w:r>
          </w:p>
        </w:tc>
        <w:tc>
          <w:tcPr>
            <w:tcW w:w="252" w:type="pct"/>
          </w:tcPr>
          <w:p w14:paraId="4EDE68C4" w14:textId="77777777" w:rsidR="00200EF4" w:rsidRPr="002F0252" w:rsidRDefault="00200EF4" w:rsidP="00F62CF2">
            <w:r w:rsidRPr="002F0252">
              <w:t>2013</w:t>
            </w:r>
          </w:p>
        </w:tc>
        <w:tc>
          <w:tcPr>
            <w:tcW w:w="682" w:type="pct"/>
          </w:tcPr>
          <w:p w14:paraId="4566058A" w14:textId="77777777" w:rsidR="00200EF4" w:rsidRPr="002F0252" w:rsidRDefault="00200EF4" w:rsidP="00F62CF2">
            <w:r w:rsidRPr="002F0252">
              <w:t>A feasibility study was conducted in The Netherlands to evaluate a new intervention to improve work participation of young adults with physical disabilities.</w:t>
            </w:r>
          </w:p>
        </w:tc>
        <w:tc>
          <w:tcPr>
            <w:tcW w:w="649" w:type="pct"/>
          </w:tcPr>
          <w:p w14:paraId="75EF4CE8" w14:textId="77777777" w:rsidR="00200EF4" w:rsidRPr="002F0252" w:rsidRDefault="00200EF4" w:rsidP="00F62CF2">
            <w:r w:rsidRPr="002F0252">
              <w:t>The median cost per participant for 1 year was Euro3,128 (in 2008) which is equivalent to the cost of 72 contact hours per participant.</w:t>
            </w:r>
          </w:p>
        </w:tc>
        <w:tc>
          <w:tcPr>
            <w:tcW w:w="578" w:type="pct"/>
          </w:tcPr>
          <w:p w14:paraId="78664EF2" w14:textId="77777777" w:rsidR="00200EF4" w:rsidRPr="002F0252" w:rsidRDefault="00D06DE6" w:rsidP="00F62CF2">
            <w:r w:rsidRPr="002F0252">
              <w:t xml:space="preserve">There was a cost-saving to society from having more physically disabled young adults in work. At 3 years post intervention, seven of the 12 young adults were in paid employment and 1 was in unpaid employment </w:t>
            </w:r>
            <w:r w:rsidR="00DB43F7" w:rsidRPr="002F0252">
              <w:t>compared</w:t>
            </w:r>
            <w:r w:rsidRPr="002F0252">
              <w:t xml:space="preserve"> with a ratio of 4:4 in paid and unpaid </w:t>
            </w:r>
            <w:r w:rsidRPr="002F0252">
              <w:lastRenderedPageBreak/>
              <w:t>work respectively post-intervention.</w:t>
            </w:r>
          </w:p>
        </w:tc>
        <w:tc>
          <w:tcPr>
            <w:tcW w:w="879" w:type="pct"/>
          </w:tcPr>
          <w:p w14:paraId="07EFA50F" w14:textId="77777777" w:rsidR="00200EF4" w:rsidRPr="002F0252" w:rsidRDefault="00200EF4" w:rsidP="00F62CF2">
            <w:r w:rsidRPr="002F0252">
              <w:lastRenderedPageBreak/>
              <w:t>Employed participants seemed to have achieved suitable and continuous employment.</w:t>
            </w:r>
          </w:p>
        </w:tc>
        <w:tc>
          <w:tcPr>
            <w:tcW w:w="879" w:type="pct"/>
          </w:tcPr>
          <w:p w14:paraId="0F9BEFC4" w14:textId="77777777" w:rsidR="00200EF4" w:rsidRPr="002F0252" w:rsidRDefault="00200EF4" w:rsidP="00F62CF2">
            <w:r w:rsidRPr="002F0252">
              <w:t>Strong</w:t>
            </w:r>
          </w:p>
        </w:tc>
      </w:tr>
      <w:tr w:rsidR="00200EF4" w:rsidRPr="002F0252" w14:paraId="5C1B4B26" w14:textId="77777777" w:rsidTr="00F62CF2">
        <w:tc>
          <w:tcPr>
            <w:tcW w:w="647" w:type="pct"/>
          </w:tcPr>
          <w:p w14:paraId="6CC8D5AE" w14:textId="77777777" w:rsidR="00200EF4" w:rsidRPr="002F0252" w:rsidRDefault="0064464D" w:rsidP="00F62CF2">
            <w:r w:rsidRPr="002F0252">
              <w:t>Type 2 diabetes</w:t>
            </w:r>
          </w:p>
        </w:tc>
        <w:tc>
          <w:tcPr>
            <w:tcW w:w="434" w:type="pct"/>
          </w:tcPr>
          <w:p w14:paraId="6FBA5757" w14:textId="77777777" w:rsidR="00200EF4" w:rsidRPr="002F0252" w:rsidRDefault="0064464D" w:rsidP="00F62CF2">
            <w:r w:rsidRPr="002F0252">
              <w:t>Brown et al</w:t>
            </w:r>
          </w:p>
        </w:tc>
        <w:tc>
          <w:tcPr>
            <w:tcW w:w="252" w:type="pct"/>
          </w:tcPr>
          <w:p w14:paraId="5AB58A6F" w14:textId="77777777" w:rsidR="00200EF4" w:rsidRPr="002F0252" w:rsidRDefault="0064464D" w:rsidP="00F62CF2">
            <w:r w:rsidRPr="002F0252">
              <w:t>2012</w:t>
            </w:r>
          </w:p>
        </w:tc>
        <w:tc>
          <w:tcPr>
            <w:tcW w:w="682" w:type="pct"/>
          </w:tcPr>
          <w:p w14:paraId="018C9879" w14:textId="77777777" w:rsidR="00200EF4" w:rsidRPr="002F0252" w:rsidRDefault="0064464D" w:rsidP="00F62CF2">
            <w:r w:rsidRPr="002F0252">
              <w:t>In 2012 in the USA a cost-effectiveness analysis of community health worker intervention for low-income Hispanic adults with diabetes was conducted.</w:t>
            </w:r>
          </w:p>
        </w:tc>
        <w:tc>
          <w:tcPr>
            <w:tcW w:w="649" w:type="pct"/>
          </w:tcPr>
          <w:p w14:paraId="09C20CC3" w14:textId="77777777" w:rsidR="00200EF4" w:rsidRPr="002F0252" w:rsidRDefault="0064464D" w:rsidP="00F62CF2">
            <w:r w:rsidRPr="002F0252">
              <w:t>The incremental cost-effectiveness ratio of the intervention ranged from $10,995 to $33,319 per QALY gained when compared with usual care.</w:t>
            </w:r>
          </w:p>
        </w:tc>
        <w:tc>
          <w:tcPr>
            <w:tcW w:w="578" w:type="pct"/>
          </w:tcPr>
          <w:p w14:paraId="74704E29" w14:textId="77777777" w:rsidR="00200EF4" w:rsidRPr="002F0252" w:rsidRDefault="0064464D" w:rsidP="00F62CF2">
            <w:r w:rsidRPr="002F0252">
              <w:t>The incremental cost-effectiveness ratio of the intervention ranged from $10,995 to $33,319 per QALY gained when compared with usual care</w:t>
            </w:r>
          </w:p>
        </w:tc>
        <w:tc>
          <w:tcPr>
            <w:tcW w:w="879" w:type="pct"/>
          </w:tcPr>
          <w:p w14:paraId="13735E84" w14:textId="77777777" w:rsidR="00200EF4" w:rsidRPr="002F0252" w:rsidRDefault="0064464D" w:rsidP="0064464D">
            <w:r w:rsidRPr="002F0252">
              <w:t>The authors noted that culturally sensitive lifestyle modification programmes to control type 2 diabetes can be a cost-effective way to improve health among Hispanics with diabetes, particularly among those with high blood sugar levels.</w:t>
            </w:r>
          </w:p>
        </w:tc>
        <w:tc>
          <w:tcPr>
            <w:tcW w:w="879" w:type="pct"/>
          </w:tcPr>
          <w:p w14:paraId="4BFDA121" w14:textId="77777777" w:rsidR="00200EF4" w:rsidRPr="002F0252" w:rsidRDefault="0064464D" w:rsidP="00F62CF2">
            <w:r w:rsidRPr="002F0252">
              <w:t>Strong</w:t>
            </w:r>
          </w:p>
        </w:tc>
      </w:tr>
    </w:tbl>
    <w:p w14:paraId="1E1EDAAE" w14:textId="77777777" w:rsidR="00616EA6" w:rsidRPr="002F0252" w:rsidRDefault="00616EA6" w:rsidP="00200EF4">
      <w:pPr>
        <w:rPr>
          <w:b/>
        </w:rPr>
      </w:pPr>
    </w:p>
    <w:p w14:paraId="20B811F1" w14:textId="77777777" w:rsidR="00616EA6" w:rsidRPr="002F0252" w:rsidRDefault="00616EA6">
      <w:pPr>
        <w:rPr>
          <w:b/>
        </w:rPr>
      </w:pPr>
      <w:r w:rsidRPr="002F0252">
        <w:rPr>
          <w:b/>
        </w:rPr>
        <w:br w:type="page"/>
      </w:r>
    </w:p>
    <w:p w14:paraId="5094FE07" w14:textId="77777777" w:rsidR="00200EF4" w:rsidRPr="002F0252" w:rsidRDefault="00200EF4" w:rsidP="00200EF4">
      <w:pPr>
        <w:rPr>
          <w:b/>
        </w:rPr>
      </w:pPr>
    </w:p>
    <w:p w14:paraId="7EE22436" w14:textId="7ABAB834" w:rsidR="00616EA6" w:rsidRPr="002F0252" w:rsidRDefault="002D412F" w:rsidP="00616EA6">
      <w:pPr>
        <w:rPr>
          <w:b/>
        </w:rPr>
      </w:pPr>
      <w:r w:rsidRPr="002F0252">
        <w:rPr>
          <w:b/>
        </w:rPr>
        <w:t xml:space="preserve">Table </w:t>
      </w:r>
      <w:r w:rsidR="00880431">
        <w:rPr>
          <w:b/>
        </w:rPr>
        <w:t>4.</w:t>
      </w:r>
      <w:r w:rsidRPr="002F0252">
        <w:rPr>
          <w:b/>
        </w:rPr>
        <w:t>13</w:t>
      </w:r>
      <w:r w:rsidR="00616EA6" w:rsidRPr="002F0252">
        <w:rPr>
          <w:b/>
        </w:rPr>
        <w:tab/>
        <w:t xml:space="preserve">Interventions to improve work participation through </w:t>
      </w:r>
      <w:r w:rsidR="00551BD5" w:rsidRPr="002F0252">
        <w:rPr>
          <w:b/>
        </w:rPr>
        <w:t>vaccination programmes</w:t>
      </w:r>
    </w:p>
    <w:p w14:paraId="44942B5F" w14:textId="77777777" w:rsidR="00616EA6" w:rsidRPr="002F0252" w:rsidRDefault="00616EA6" w:rsidP="00200EF4">
      <w:pPr>
        <w:rPr>
          <w:b/>
        </w:rPr>
      </w:pPr>
    </w:p>
    <w:p w14:paraId="0350A9D1" w14:textId="77777777" w:rsidR="00616EA6" w:rsidRPr="002F0252" w:rsidRDefault="00616EA6" w:rsidP="00200EF4">
      <w:pPr>
        <w:rPr>
          <w:b/>
        </w:rPr>
      </w:pPr>
    </w:p>
    <w:tbl>
      <w:tblPr>
        <w:tblStyle w:val="TableGrid"/>
        <w:tblW w:w="5000" w:type="pct"/>
        <w:tblLook w:val="04A0" w:firstRow="1" w:lastRow="0" w:firstColumn="1" w:lastColumn="0" w:noHBand="0" w:noVBand="1"/>
      </w:tblPr>
      <w:tblGrid>
        <w:gridCol w:w="1767"/>
        <w:gridCol w:w="1311"/>
        <w:gridCol w:w="703"/>
        <w:gridCol w:w="1863"/>
        <w:gridCol w:w="1771"/>
        <w:gridCol w:w="1707"/>
        <w:gridCol w:w="2413"/>
        <w:gridCol w:w="2413"/>
      </w:tblGrid>
      <w:tr w:rsidR="00616EA6" w:rsidRPr="002F0252" w14:paraId="2F7B6EAF" w14:textId="77777777" w:rsidTr="0081389A">
        <w:tc>
          <w:tcPr>
            <w:tcW w:w="633" w:type="pct"/>
          </w:tcPr>
          <w:p w14:paraId="488F6348" w14:textId="77777777" w:rsidR="00616EA6" w:rsidRPr="002F0252" w:rsidRDefault="00616EA6" w:rsidP="00C81342">
            <w:pPr>
              <w:rPr>
                <w:b/>
              </w:rPr>
            </w:pPr>
            <w:r w:rsidRPr="002F0252">
              <w:rPr>
                <w:b/>
              </w:rPr>
              <w:t>Category of Initiative</w:t>
            </w:r>
          </w:p>
        </w:tc>
        <w:tc>
          <w:tcPr>
            <w:tcW w:w="470" w:type="pct"/>
          </w:tcPr>
          <w:p w14:paraId="3FE0AF61" w14:textId="77777777" w:rsidR="00616EA6" w:rsidRPr="002F0252" w:rsidRDefault="00616EA6" w:rsidP="00C81342">
            <w:pPr>
              <w:rPr>
                <w:b/>
              </w:rPr>
            </w:pPr>
            <w:r w:rsidRPr="002F0252">
              <w:rPr>
                <w:b/>
              </w:rPr>
              <w:t>Author</w:t>
            </w:r>
          </w:p>
        </w:tc>
        <w:tc>
          <w:tcPr>
            <w:tcW w:w="252" w:type="pct"/>
          </w:tcPr>
          <w:p w14:paraId="29B4EE23" w14:textId="77777777" w:rsidR="00616EA6" w:rsidRPr="002F0252" w:rsidRDefault="00616EA6" w:rsidP="00C81342">
            <w:pPr>
              <w:rPr>
                <w:b/>
              </w:rPr>
            </w:pPr>
            <w:r w:rsidRPr="002F0252">
              <w:rPr>
                <w:b/>
              </w:rPr>
              <w:t xml:space="preserve">Date </w:t>
            </w:r>
          </w:p>
        </w:tc>
        <w:tc>
          <w:tcPr>
            <w:tcW w:w="668" w:type="pct"/>
          </w:tcPr>
          <w:p w14:paraId="1D207CA6" w14:textId="77777777" w:rsidR="00616EA6" w:rsidRPr="002F0252" w:rsidRDefault="00616EA6" w:rsidP="00C81342">
            <w:pPr>
              <w:rPr>
                <w:b/>
              </w:rPr>
            </w:pPr>
            <w:r w:rsidRPr="002F0252">
              <w:rPr>
                <w:b/>
              </w:rPr>
              <w:t>Main finding</w:t>
            </w:r>
          </w:p>
        </w:tc>
        <w:tc>
          <w:tcPr>
            <w:tcW w:w="635" w:type="pct"/>
          </w:tcPr>
          <w:p w14:paraId="025AAE2C" w14:textId="77777777" w:rsidR="00616EA6" w:rsidRPr="002F0252" w:rsidRDefault="00616EA6" w:rsidP="00C81342">
            <w:pPr>
              <w:rPr>
                <w:b/>
              </w:rPr>
            </w:pPr>
            <w:r w:rsidRPr="002F0252">
              <w:rPr>
                <w:b/>
              </w:rPr>
              <w:t>Cost implication</w:t>
            </w:r>
          </w:p>
        </w:tc>
        <w:tc>
          <w:tcPr>
            <w:tcW w:w="612" w:type="pct"/>
          </w:tcPr>
          <w:p w14:paraId="6BD8747F" w14:textId="77777777" w:rsidR="00616EA6" w:rsidRPr="002F0252" w:rsidRDefault="00616EA6" w:rsidP="00C81342">
            <w:pPr>
              <w:rPr>
                <w:b/>
              </w:rPr>
            </w:pPr>
            <w:r w:rsidRPr="002F0252">
              <w:rPr>
                <w:b/>
              </w:rPr>
              <w:t xml:space="preserve">Cost saving </w:t>
            </w:r>
          </w:p>
        </w:tc>
        <w:tc>
          <w:tcPr>
            <w:tcW w:w="865" w:type="pct"/>
          </w:tcPr>
          <w:p w14:paraId="69FA13EA" w14:textId="77777777" w:rsidR="00616EA6" w:rsidRPr="002F0252" w:rsidRDefault="00616EA6" w:rsidP="00C81342">
            <w:pPr>
              <w:rPr>
                <w:b/>
              </w:rPr>
            </w:pPr>
            <w:r w:rsidRPr="002F0252">
              <w:rPr>
                <w:b/>
              </w:rPr>
              <w:t>Recommendation</w:t>
            </w:r>
          </w:p>
          <w:p w14:paraId="39DAD871" w14:textId="77777777" w:rsidR="00616EA6" w:rsidRPr="002F0252" w:rsidRDefault="00616EA6" w:rsidP="00C81342">
            <w:pPr>
              <w:ind w:firstLine="720"/>
            </w:pPr>
          </w:p>
        </w:tc>
        <w:tc>
          <w:tcPr>
            <w:tcW w:w="865" w:type="pct"/>
          </w:tcPr>
          <w:p w14:paraId="1BAE3820" w14:textId="77777777" w:rsidR="00616EA6" w:rsidRPr="002F0252" w:rsidRDefault="00616EA6" w:rsidP="00C81342">
            <w:pPr>
              <w:rPr>
                <w:b/>
              </w:rPr>
            </w:pPr>
            <w:r w:rsidRPr="002F0252">
              <w:rPr>
                <w:b/>
              </w:rPr>
              <w:t>Strength of evidence</w:t>
            </w:r>
          </w:p>
          <w:p w14:paraId="05ABEBA3" w14:textId="77777777" w:rsidR="00616EA6" w:rsidRPr="002F0252" w:rsidRDefault="00616EA6" w:rsidP="00C81342">
            <w:pPr>
              <w:rPr>
                <w:b/>
              </w:rPr>
            </w:pPr>
            <w:r w:rsidRPr="002F0252">
              <w:rPr>
                <w:b/>
              </w:rPr>
              <w:t>(weak, moderate, strong)</w:t>
            </w:r>
          </w:p>
        </w:tc>
      </w:tr>
      <w:tr w:rsidR="00616EA6" w:rsidRPr="002F0252" w14:paraId="0FB17630" w14:textId="77777777" w:rsidTr="0081389A">
        <w:tc>
          <w:tcPr>
            <w:tcW w:w="633" w:type="pct"/>
          </w:tcPr>
          <w:p w14:paraId="2D51F855" w14:textId="77777777" w:rsidR="00616EA6" w:rsidRPr="002F0252" w:rsidRDefault="00543EF1" w:rsidP="00C81342">
            <w:r w:rsidRPr="002F0252">
              <w:t>Influenza vaccine</w:t>
            </w:r>
          </w:p>
        </w:tc>
        <w:tc>
          <w:tcPr>
            <w:tcW w:w="470" w:type="pct"/>
          </w:tcPr>
          <w:p w14:paraId="3CB096AB" w14:textId="77777777" w:rsidR="00616EA6" w:rsidRPr="002F0252" w:rsidRDefault="001D73F4" w:rsidP="00C81342">
            <w:r w:rsidRPr="002F0252">
              <w:t>Blommaert et al</w:t>
            </w:r>
          </w:p>
        </w:tc>
        <w:tc>
          <w:tcPr>
            <w:tcW w:w="252" w:type="pct"/>
          </w:tcPr>
          <w:p w14:paraId="5D90E407" w14:textId="77777777" w:rsidR="00616EA6" w:rsidRPr="002F0252" w:rsidRDefault="001D73F4" w:rsidP="00C81342">
            <w:r w:rsidRPr="002F0252">
              <w:t>2014</w:t>
            </w:r>
          </w:p>
        </w:tc>
        <w:tc>
          <w:tcPr>
            <w:tcW w:w="668" w:type="pct"/>
          </w:tcPr>
          <w:p w14:paraId="1A88CC71" w14:textId="77777777" w:rsidR="00616EA6" w:rsidRPr="002F0252" w:rsidRDefault="001D73F4" w:rsidP="00C81342">
            <w:r w:rsidRPr="002F0252">
              <w:t>Vaccinating people with underlying illnesses is likely highly cost-effective above 50 years of age and borderline cost-effective for younger persons.</w:t>
            </w:r>
          </w:p>
        </w:tc>
        <w:tc>
          <w:tcPr>
            <w:tcW w:w="635" w:type="pct"/>
          </w:tcPr>
          <w:p w14:paraId="0D17D41C" w14:textId="77777777" w:rsidR="00616EA6" w:rsidRPr="002F0252" w:rsidRDefault="00C81342" w:rsidP="00C81342">
            <w:r w:rsidRPr="002F0252">
              <w:t>There would be a cost of Euro23.32 per GP consultation.</w:t>
            </w:r>
          </w:p>
        </w:tc>
        <w:tc>
          <w:tcPr>
            <w:tcW w:w="612" w:type="pct"/>
          </w:tcPr>
          <w:p w14:paraId="6630ED78" w14:textId="77777777" w:rsidR="00616EA6" w:rsidRPr="002F0252" w:rsidRDefault="00240221" w:rsidP="00240221">
            <w:r w:rsidRPr="002F0252">
              <w:t>A zero marginal administration cost (e.g. vaccination during a routine medical visit or through occupational health doctor) in</w:t>
            </w:r>
            <w:r w:rsidR="00835392" w:rsidRPr="002F0252">
              <w:t>creased influenza vaccination of</w:t>
            </w:r>
            <w:r w:rsidRPr="002F0252">
              <w:t xml:space="preserve"> active health care workers is likely to be cost-effective even without accounting for secondary </w:t>
            </w:r>
            <w:r w:rsidRPr="002F0252">
              <w:lastRenderedPageBreak/>
              <w:t xml:space="preserve">influenza cases. </w:t>
            </w:r>
          </w:p>
        </w:tc>
        <w:tc>
          <w:tcPr>
            <w:tcW w:w="865" w:type="pct"/>
          </w:tcPr>
          <w:p w14:paraId="7E12F061" w14:textId="77777777" w:rsidR="00616EA6" w:rsidRPr="002F0252" w:rsidRDefault="00C81342" w:rsidP="00240221">
            <w:r w:rsidRPr="002F0252">
              <w:lastRenderedPageBreak/>
              <w:t xml:space="preserve">Vaccinating health </w:t>
            </w:r>
            <w:r w:rsidR="00240221" w:rsidRPr="002F0252">
              <w:t>care workers is cost-effective (median Euro24,096/QALY gained Euro16,442-Euro36,342.</w:t>
            </w:r>
          </w:p>
        </w:tc>
        <w:tc>
          <w:tcPr>
            <w:tcW w:w="865" w:type="pct"/>
          </w:tcPr>
          <w:p w14:paraId="379CA6A2" w14:textId="77777777" w:rsidR="00616EA6" w:rsidRPr="002F0252" w:rsidRDefault="004B334B" w:rsidP="00C81342">
            <w:r w:rsidRPr="002F0252">
              <w:t>Strong</w:t>
            </w:r>
          </w:p>
        </w:tc>
      </w:tr>
      <w:tr w:rsidR="00543EF1" w:rsidRPr="002F0252" w14:paraId="62B16707" w14:textId="77777777" w:rsidTr="0081389A">
        <w:tc>
          <w:tcPr>
            <w:tcW w:w="633" w:type="pct"/>
          </w:tcPr>
          <w:p w14:paraId="260FC10B" w14:textId="77777777" w:rsidR="00543EF1" w:rsidRPr="002F0252" w:rsidRDefault="00543EF1" w:rsidP="00543EF1">
            <w:r w:rsidRPr="002F0252">
              <w:t>Influenza vaccine</w:t>
            </w:r>
          </w:p>
        </w:tc>
        <w:tc>
          <w:tcPr>
            <w:tcW w:w="470" w:type="pct"/>
          </w:tcPr>
          <w:p w14:paraId="456D7FEA" w14:textId="77777777" w:rsidR="00543EF1" w:rsidRPr="002F0252" w:rsidRDefault="00543EF1" w:rsidP="00543EF1">
            <w:r w:rsidRPr="002F0252">
              <w:t xml:space="preserve">Bridges et al </w:t>
            </w:r>
          </w:p>
        </w:tc>
        <w:tc>
          <w:tcPr>
            <w:tcW w:w="252" w:type="pct"/>
          </w:tcPr>
          <w:p w14:paraId="14D10156" w14:textId="77777777" w:rsidR="00543EF1" w:rsidRPr="002F0252" w:rsidRDefault="00543EF1" w:rsidP="00543EF1">
            <w:r w:rsidRPr="002F0252">
              <w:t>2000</w:t>
            </w:r>
          </w:p>
        </w:tc>
        <w:tc>
          <w:tcPr>
            <w:tcW w:w="668" w:type="pct"/>
          </w:tcPr>
          <w:p w14:paraId="312D051A" w14:textId="77777777" w:rsidR="00543EF1" w:rsidRPr="002F0252" w:rsidRDefault="00543EF1" w:rsidP="00543EF1">
            <w:r w:rsidRPr="002F0252">
              <w:t>Influenza vaccination of healthy working adults younger than 65 years old can reduce the rates of influenza like illness, lost workdays and physician visits during years when the vaccine and circulating viruses are similar, but vaccination may not provide overall economic benefits in most years.</w:t>
            </w:r>
          </w:p>
        </w:tc>
        <w:tc>
          <w:tcPr>
            <w:tcW w:w="635" w:type="pct"/>
          </w:tcPr>
          <w:p w14:paraId="27298D84" w14:textId="77777777" w:rsidR="00543EF1" w:rsidRPr="002F0252" w:rsidRDefault="00543EF1" w:rsidP="00543EF1">
            <w:r w:rsidRPr="002F0252">
              <w:t>In 1997-1998 when the vaccine and viruses circulating were not a good match, the net societal cost was $65.59 US dollars per person compared with no vaccination. In 1998-1999 when there was a better match between the vaccine and viruses circulating the net societal cost was $11.17 US dollars per person.</w:t>
            </w:r>
          </w:p>
        </w:tc>
        <w:tc>
          <w:tcPr>
            <w:tcW w:w="612" w:type="pct"/>
          </w:tcPr>
          <w:p w14:paraId="0026B6FB" w14:textId="77777777" w:rsidR="00543EF1" w:rsidRPr="002F0252" w:rsidRDefault="00543EF1" w:rsidP="00543EF1">
            <w:r w:rsidRPr="002F0252">
              <w:t>There were no cost savings to providing the influenza vaccination to healthy working adults in the USA between 1997 and 1999.</w:t>
            </w:r>
          </w:p>
        </w:tc>
        <w:tc>
          <w:tcPr>
            <w:tcW w:w="865" w:type="pct"/>
          </w:tcPr>
          <w:p w14:paraId="68466D3C" w14:textId="77777777" w:rsidR="00543EF1" w:rsidRPr="002F0252" w:rsidRDefault="00543EF1" w:rsidP="00543EF1">
            <w:r w:rsidRPr="002F0252">
              <w:t>Vaccination of healthy adults younger than 65 years is unlikely to provide societal economic benefits in most years.</w:t>
            </w:r>
          </w:p>
        </w:tc>
        <w:tc>
          <w:tcPr>
            <w:tcW w:w="865" w:type="pct"/>
          </w:tcPr>
          <w:p w14:paraId="70D97D86" w14:textId="77777777" w:rsidR="00543EF1" w:rsidRPr="002F0252" w:rsidRDefault="00543EF1" w:rsidP="00543EF1">
            <w:r w:rsidRPr="002F0252">
              <w:t>Strong</w:t>
            </w:r>
          </w:p>
        </w:tc>
      </w:tr>
      <w:tr w:rsidR="00543EF1" w:rsidRPr="002F0252" w14:paraId="5D9B0A7E" w14:textId="77777777" w:rsidTr="0081389A">
        <w:tc>
          <w:tcPr>
            <w:tcW w:w="633" w:type="pct"/>
          </w:tcPr>
          <w:p w14:paraId="4ACA605E" w14:textId="77777777" w:rsidR="00543EF1" w:rsidRPr="002F0252" w:rsidRDefault="00543EF1" w:rsidP="00543EF1">
            <w:r w:rsidRPr="002F0252">
              <w:lastRenderedPageBreak/>
              <w:t>Influenza vaccine</w:t>
            </w:r>
          </w:p>
        </w:tc>
        <w:tc>
          <w:tcPr>
            <w:tcW w:w="470" w:type="pct"/>
          </w:tcPr>
          <w:p w14:paraId="50DFD468" w14:textId="77777777" w:rsidR="00543EF1" w:rsidRPr="002F0252" w:rsidRDefault="00543EF1" w:rsidP="00543EF1">
            <w:r w:rsidRPr="002F0252">
              <w:t>Nettleman and Schmid</w:t>
            </w:r>
          </w:p>
        </w:tc>
        <w:tc>
          <w:tcPr>
            <w:tcW w:w="252" w:type="pct"/>
          </w:tcPr>
          <w:p w14:paraId="35E486F4" w14:textId="77777777" w:rsidR="00543EF1" w:rsidRPr="002F0252" w:rsidRDefault="00543EF1" w:rsidP="00543EF1">
            <w:r w:rsidRPr="002F0252">
              <w:t>1997</w:t>
            </w:r>
          </w:p>
        </w:tc>
        <w:tc>
          <w:tcPr>
            <w:tcW w:w="668" w:type="pct"/>
          </w:tcPr>
          <w:p w14:paraId="1B1A0B12" w14:textId="77777777" w:rsidR="00543EF1" w:rsidRPr="002F0252" w:rsidRDefault="00AF697E" w:rsidP="00543EF1">
            <w:r w:rsidRPr="002F0252">
              <w:t xml:space="preserve">Varicella vaccination of potentially susceptible </w:t>
            </w:r>
            <w:r w:rsidR="00207803" w:rsidRPr="002F0252">
              <w:t>health care</w:t>
            </w:r>
            <w:r w:rsidRPr="002F0252">
              <w:t xml:space="preserve"> workers can reduce costs and decrease morbidity</w:t>
            </w:r>
            <w:r w:rsidR="00CF0E14" w:rsidRPr="002F0252">
              <w:t xml:space="preserve"> in the USA</w:t>
            </w:r>
            <w:r w:rsidRPr="002F0252">
              <w:t>.</w:t>
            </w:r>
          </w:p>
        </w:tc>
        <w:tc>
          <w:tcPr>
            <w:tcW w:w="635" w:type="pct"/>
          </w:tcPr>
          <w:p w14:paraId="51276F81" w14:textId="77777777" w:rsidR="00543EF1" w:rsidRPr="002F0252" w:rsidRDefault="00AF697E" w:rsidP="00543EF1">
            <w:r w:rsidRPr="002F0252">
              <w:t>The cost of a case of varicella was estimated to be $2,056 US dollars in 1997, based on the cost of outpatient care, time lost from work, and hospitalization.</w:t>
            </w:r>
          </w:p>
        </w:tc>
        <w:tc>
          <w:tcPr>
            <w:tcW w:w="612" w:type="pct"/>
          </w:tcPr>
          <w:p w14:paraId="70ED8A04" w14:textId="77777777" w:rsidR="00543EF1" w:rsidRPr="002F0252" w:rsidRDefault="00AF697E" w:rsidP="00543EF1">
            <w:r w:rsidRPr="002F0252">
              <w:t>Vaccination of potentially susceptible workers wo</w:t>
            </w:r>
            <w:r w:rsidR="00D61155" w:rsidRPr="002F0252">
              <w:t>uld result in a net cost saving</w:t>
            </w:r>
            <w:r w:rsidRPr="002F0252">
              <w:t xml:space="preserve"> of $59 USA dollars in 1997.</w:t>
            </w:r>
          </w:p>
        </w:tc>
        <w:tc>
          <w:tcPr>
            <w:tcW w:w="865" w:type="pct"/>
          </w:tcPr>
          <w:p w14:paraId="63D4B9B5" w14:textId="77777777" w:rsidR="00543EF1" w:rsidRPr="002F0252" w:rsidRDefault="00AF697E" w:rsidP="00543EF1">
            <w:r w:rsidRPr="002F0252">
              <w:t>Vaccination of susceptible employees was found to result in net cost savings, but this was dependent on the infection control policy regarding work restrictions after vaccination.</w:t>
            </w:r>
          </w:p>
        </w:tc>
        <w:tc>
          <w:tcPr>
            <w:tcW w:w="865" w:type="pct"/>
          </w:tcPr>
          <w:p w14:paraId="72E53123" w14:textId="77777777" w:rsidR="00543EF1" w:rsidRPr="002F0252" w:rsidRDefault="00CF0E14" w:rsidP="00543EF1">
            <w:r w:rsidRPr="002F0252">
              <w:t>Strong</w:t>
            </w:r>
          </w:p>
        </w:tc>
      </w:tr>
      <w:tr w:rsidR="00616EA6" w:rsidRPr="002F0252" w14:paraId="0EEF8164" w14:textId="77777777" w:rsidTr="0081389A">
        <w:tc>
          <w:tcPr>
            <w:tcW w:w="633" w:type="pct"/>
          </w:tcPr>
          <w:p w14:paraId="1FEE6A81" w14:textId="77777777" w:rsidR="00616EA6" w:rsidRPr="002F0252" w:rsidRDefault="007B3C64" w:rsidP="00C81342">
            <w:r w:rsidRPr="002F0252">
              <w:t>Influenza vaccine</w:t>
            </w:r>
          </w:p>
        </w:tc>
        <w:tc>
          <w:tcPr>
            <w:tcW w:w="470" w:type="pct"/>
          </w:tcPr>
          <w:p w14:paraId="18788B77" w14:textId="77777777" w:rsidR="00616EA6" w:rsidRPr="002F0252" w:rsidRDefault="00B16DE8" w:rsidP="00C81342">
            <w:r w:rsidRPr="002F0252">
              <w:t>Parlevliet et al</w:t>
            </w:r>
          </w:p>
        </w:tc>
        <w:tc>
          <w:tcPr>
            <w:tcW w:w="252" w:type="pct"/>
          </w:tcPr>
          <w:p w14:paraId="638B1B56" w14:textId="77777777" w:rsidR="00616EA6" w:rsidRPr="002F0252" w:rsidRDefault="00B16DE8" w:rsidP="00C81342">
            <w:r w:rsidRPr="002F0252">
              <w:t>2002</w:t>
            </w:r>
          </w:p>
        </w:tc>
        <w:tc>
          <w:tcPr>
            <w:tcW w:w="668" w:type="pct"/>
          </w:tcPr>
          <w:p w14:paraId="6AA49A8A" w14:textId="77777777" w:rsidR="00616EA6" w:rsidRPr="002F0252" w:rsidRDefault="00B16DE8" w:rsidP="00C81342">
            <w:r w:rsidRPr="002F0252">
              <w:t>Vaccination promotion has an economic benefit for the Academic Medical Centre (AMC) of the University of Amsterdam, The Netherlands.</w:t>
            </w:r>
          </w:p>
        </w:tc>
        <w:tc>
          <w:tcPr>
            <w:tcW w:w="635" w:type="pct"/>
          </w:tcPr>
          <w:p w14:paraId="47C99A57" w14:textId="77777777" w:rsidR="00616EA6" w:rsidRPr="002F0252" w:rsidRDefault="00B16DE8" w:rsidP="00C81342">
            <w:r w:rsidRPr="002F0252">
              <w:t xml:space="preserve">The cost of the campaign and administration costs would be around EUR117,000 (EUR125 per vaccination </w:t>
            </w:r>
            <w:r w:rsidR="00FF61E8" w:rsidRPr="002F0252">
              <w:t>(in 2000 prices).</w:t>
            </w:r>
          </w:p>
        </w:tc>
        <w:tc>
          <w:tcPr>
            <w:tcW w:w="612" w:type="pct"/>
          </w:tcPr>
          <w:p w14:paraId="1C32DF43" w14:textId="77777777" w:rsidR="00616EA6" w:rsidRPr="002F0252" w:rsidRDefault="00FF61E8" w:rsidP="00FF61E8">
            <w:r w:rsidRPr="002F0252">
              <w:t>The net benefit was EUR125 per vaccination</w:t>
            </w:r>
            <w:r w:rsidR="00CF0004" w:rsidRPr="002F0252">
              <w:t xml:space="preserve"> (in 2000 prices)</w:t>
            </w:r>
            <w:r w:rsidRPr="002F0252">
              <w:t>, but this excluded the campaign and administration costs.</w:t>
            </w:r>
          </w:p>
        </w:tc>
        <w:tc>
          <w:tcPr>
            <w:tcW w:w="865" w:type="pct"/>
          </w:tcPr>
          <w:p w14:paraId="66ABD724" w14:textId="77777777" w:rsidR="00616EA6" w:rsidRPr="002F0252" w:rsidRDefault="00FF61E8" w:rsidP="00FF61E8">
            <w:r w:rsidRPr="002F0252">
              <w:t xml:space="preserve">An influenza vaccination programme in an institution with the characteristics of the AMC can be performed with an economic benefit for the organisation, therefore for economic reasons the authors would encourage an influenza vaccination programme in the AMC, particularly  for </w:t>
            </w:r>
            <w:r w:rsidRPr="002F0252">
              <w:lastRenderedPageBreak/>
              <w:t>the medical resident staff.</w:t>
            </w:r>
          </w:p>
        </w:tc>
        <w:tc>
          <w:tcPr>
            <w:tcW w:w="865" w:type="pct"/>
          </w:tcPr>
          <w:p w14:paraId="69697D0E" w14:textId="77777777" w:rsidR="00616EA6" w:rsidRPr="002F0252" w:rsidRDefault="0081389A" w:rsidP="00C81342">
            <w:r w:rsidRPr="002F0252">
              <w:lastRenderedPageBreak/>
              <w:t>Strong</w:t>
            </w:r>
          </w:p>
        </w:tc>
      </w:tr>
      <w:tr w:rsidR="00616EA6" w:rsidRPr="002F0252" w14:paraId="516E2479" w14:textId="77777777" w:rsidTr="0081389A">
        <w:tc>
          <w:tcPr>
            <w:tcW w:w="633" w:type="pct"/>
          </w:tcPr>
          <w:p w14:paraId="1543A41C" w14:textId="77777777" w:rsidR="00616EA6" w:rsidRPr="002F0252" w:rsidRDefault="00BA6E06" w:rsidP="00C81342">
            <w:r w:rsidRPr="002F0252">
              <w:t>Influenza vaccine</w:t>
            </w:r>
          </w:p>
        </w:tc>
        <w:tc>
          <w:tcPr>
            <w:tcW w:w="470" w:type="pct"/>
          </w:tcPr>
          <w:p w14:paraId="5EFB8449" w14:textId="77777777" w:rsidR="00616EA6" w:rsidRPr="002F0252" w:rsidRDefault="00BA6E06" w:rsidP="00C81342">
            <w:r w:rsidRPr="002F0252">
              <w:t>Nichol</w:t>
            </w:r>
          </w:p>
        </w:tc>
        <w:tc>
          <w:tcPr>
            <w:tcW w:w="252" w:type="pct"/>
          </w:tcPr>
          <w:p w14:paraId="720ED49C" w14:textId="77777777" w:rsidR="00616EA6" w:rsidRPr="002F0252" w:rsidRDefault="00BA6E06" w:rsidP="00C81342">
            <w:r w:rsidRPr="002F0252">
              <w:t>2001</w:t>
            </w:r>
          </w:p>
        </w:tc>
        <w:tc>
          <w:tcPr>
            <w:tcW w:w="668" w:type="pct"/>
          </w:tcPr>
          <w:p w14:paraId="3DFF5AAF" w14:textId="77777777" w:rsidR="00616EA6" w:rsidRPr="002F0252" w:rsidRDefault="00277234" w:rsidP="00C81342">
            <w:r w:rsidRPr="002F0252">
              <w:t>Substantial health and economic benefits might be realised from vaccinating all working adults against influenza, especially when immunization occurs at the work site or other efficient and low-cost settings.</w:t>
            </w:r>
          </w:p>
        </w:tc>
        <w:tc>
          <w:tcPr>
            <w:tcW w:w="635" w:type="pct"/>
          </w:tcPr>
          <w:p w14:paraId="0846C8B7" w14:textId="77777777" w:rsidR="00616EA6" w:rsidRPr="002F0252" w:rsidRDefault="008F2107" w:rsidP="008F2107">
            <w:r w:rsidRPr="002F0252">
              <w:t>The mean cost of the vaccine was $10 in 1999 (US dollars).</w:t>
            </w:r>
          </w:p>
        </w:tc>
        <w:tc>
          <w:tcPr>
            <w:tcW w:w="612" w:type="pct"/>
          </w:tcPr>
          <w:p w14:paraId="1E8EBF7E" w14:textId="77777777" w:rsidR="00616EA6" w:rsidRPr="002F0252" w:rsidRDefault="00AD3CE9" w:rsidP="008F2107">
            <w:r w:rsidRPr="002F0252">
              <w:t xml:space="preserve">Mean cost savings of $13.66 </w:t>
            </w:r>
            <w:r w:rsidR="008F2107" w:rsidRPr="002F0252">
              <w:t xml:space="preserve">(US dollars in 1999) </w:t>
            </w:r>
            <w:r w:rsidRPr="002F0252">
              <w:t>per person vaccinated</w:t>
            </w:r>
            <w:r w:rsidR="008F2107" w:rsidRPr="002F0252">
              <w:t>.</w:t>
            </w:r>
          </w:p>
        </w:tc>
        <w:tc>
          <w:tcPr>
            <w:tcW w:w="865" w:type="pct"/>
          </w:tcPr>
          <w:p w14:paraId="6555024A" w14:textId="77777777" w:rsidR="00616EA6" w:rsidRPr="002F0252" w:rsidRDefault="00BA6E06" w:rsidP="00C81342">
            <w:r w:rsidRPr="002F0252">
              <w:t xml:space="preserve">Influenza vaccination of </w:t>
            </w:r>
            <w:r w:rsidR="00AD3CE9" w:rsidRPr="002F0252">
              <w:t>healthy</w:t>
            </w:r>
            <w:r w:rsidRPr="002F0252">
              <w:t xml:space="preserve"> working adults is cost saving. The findings support a strategy of </w:t>
            </w:r>
            <w:r w:rsidR="00AD3CE9" w:rsidRPr="002F0252">
              <w:t>routine</w:t>
            </w:r>
            <w:r w:rsidRPr="002F0252">
              <w:t xml:space="preserve"> annual vaccination especially when vaccination occurs in efficient and low-cost sites.</w:t>
            </w:r>
          </w:p>
        </w:tc>
        <w:tc>
          <w:tcPr>
            <w:tcW w:w="865" w:type="pct"/>
          </w:tcPr>
          <w:p w14:paraId="0945AF99" w14:textId="77777777" w:rsidR="00616EA6" w:rsidRPr="002F0252" w:rsidRDefault="0081389A" w:rsidP="00C81342">
            <w:r w:rsidRPr="002F0252">
              <w:t>Strong</w:t>
            </w:r>
          </w:p>
        </w:tc>
      </w:tr>
      <w:tr w:rsidR="008F5861" w:rsidRPr="002F0252" w14:paraId="75A2BAAF" w14:textId="77777777" w:rsidTr="0081389A">
        <w:tc>
          <w:tcPr>
            <w:tcW w:w="633" w:type="pct"/>
          </w:tcPr>
          <w:p w14:paraId="097A1006" w14:textId="77777777" w:rsidR="008F5861" w:rsidRPr="002F0252" w:rsidRDefault="008F5861" w:rsidP="008F5861">
            <w:r w:rsidRPr="002F0252">
              <w:t>Influenza vaccine</w:t>
            </w:r>
          </w:p>
        </w:tc>
        <w:tc>
          <w:tcPr>
            <w:tcW w:w="470" w:type="pct"/>
          </w:tcPr>
          <w:p w14:paraId="2AC57665" w14:textId="77777777" w:rsidR="008F5861" w:rsidRPr="002F0252" w:rsidRDefault="008F5861" w:rsidP="008F5861">
            <w:r w:rsidRPr="002F0252">
              <w:t>Nichol</w:t>
            </w:r>
            <w:r w:rsidR="00556A88" w:rsidRPr="002F0252">
              <w:t xml:space="preserve"> et al</w:t>
            </w:r>
          </w:p>
        </w:tc>
        <w:tc>
          <w:tcPr>
            <w:tcW w:w="252" w:type="pct"/>
          </w:tcPr>
          <w:p w14:paraId="745BCDB7" w14:textId="77777777" w:rsidR="008F5861" w:rsidRPr="002F0252" w:rsidRDefault="008F5861" w:rsidP="008F5861">
            <w:r w:rsidRPr="002F0252">
              <w:t>2003</w:t>
            </w:r>
          </w:p>
        </w:tc>
        <w:tc>
          <w:tcPr>
            <w:tcW w:w="668" w:type="pct"/>
          </w:tcPr>
          <w:p w14:paraId="00EFDB32" w14:textId="77777777" w:rsidR="008F5861" w:rsidRPr="002F0252" w:rsidRDefault="00556A88" w:rsidP="008F5861">
            <w:r w:rsidRPr="002F0252">
              <w:t xml:space="preserve">A cost-benefit of influenza vaccination in healthy, working adult: an economic analysis based on the results of a clinical trial of trivalent live </w:t>
            </w:r>
            <w:r w:rsidRPr="002F0252">
              <w:lastRenderedPageBreak/>
              <w:t xml:space="preserve">attenuated influenza virus vaccine. </w:t>
            </w:r>
          </w:p>
        </w:tc>
        <w:tc>
          <w:tcPr>
            <w:tcW w:w="635" w:type="pct"/>
          </w:tcPr>
          <w:p w14:paraId="0CB8CE6E" w14:textId="77777777" w:rsidR="008F5861" w:rsidRPr="002F0252" w:rsidRDefault="00556A88" w:rsidP="008F5861">
            <w:r w:rsidRPr="002F0252">
              <w:lastRenderedPageBreak/>
              <w:t>The mean cost of the vaccine was $10-$15 in 1999 (US dollars).</w:t>
            </w:r>
          </w:p>
        </w:tc>
        <w:tc>
          <w:tcPr>
            <w:tcW w:w="612" w:type="pct"/>
          </w:tcPr>
          <w:p w14:paraId="28D40D75" w14:textId="77777777" w:rsidR="00556A88" w:rsidRPr="002F0252" w:rsidRDefault="00556A88" w:rsidP="00556A88">
            <w:r w:rsidRPr="002F0252">
              <w:t>At a mean cost of US$</w:t>
            </w:r>
          </w:p>
          <w:p w14:paraId="6A150905" w14:textId="77777777" w:rsidR="00556A88" w:rsidRPr="002F0252" w:rsidRDefault="00556A88" w:rsidP="00556A88">
            <w:r w:rsidRPr="002F0252">
              <w:t>26 for vaccine and administration, vaccination would generate</w:t>
            </w:r>
          </w:p>
          <w:p w14:paraId="44080043" w14:textId="77777777" w:rsidR="00556A88" w:rsidRPr="002F0252" w:rsidRDefault="00556A88" w:rsidP="00556A88">
            <w:r w:rsidRPr="002F0252">
              <w:t xml:space="preserve">net savings to society 95% of </w:t>
            </w:r>
            <w:r w:rsidRPr="002F0252">
              <w:lastRenderedPageBreak/>
              <w:t>the time; at a mean cost</w:t>
            </w:r>
          </w:p>
          <w:p w14:paraId="01FEDAAB" w14:textId="77777777" w:rsidR="00556A88" w:rsidRPr="002F0252" w:rsidRDefault="00556A88" w:rsidP="00556A88">
            <w:r w:rsidRPr="002F0252">
              <w:t>of US$ 43 vaccination would generate net savings 50% of</w:t>
            </w:r>
          </w:p>
          <w:p w14:paraId="29177ACF" w14:textId="77777777" w:rsidR="008F5861" w:rsidRPr="002F0252" w:rsidRDefault="00556A88" w:rsidP="00556A88">
            <w:r w:rsidRPr="002F0252">
              <w:t>the time.</w:t>
            </w:r>
          </w:p>
        </w:tc>
        <w:tc>
          <w:tcPr>
            <w:tcW w:w="865" w:type="pct"/>
          </w:tcPr>
          <w:p w14:paraId="04CF22E2" w14:textId="77777777" w:rsidR="008F5861" w:rsidRPr="002F0252" w:rsidRDefault="008F5861" w:rsidP="008F5861">
            <w:r w:rsidRPr="002F0252">
              <w:lastRenderedPageBreak/>
              <w:t>The influenza vaccination may provide both health and economic benefits for healthy working adults.</w:t>
            </w:r>
          </w:p>
        </w:tc>
        <w:tc>
          <w:tcPr>
            <w:tcW w:w="865" w:type="pct"/>
          </w:tcPr>
          <w:p w14:paraId="1979EDC1" w14:textId="77777777" w:rsidR="008F5861" w:rsidRPr="002F0252" w:rsidRDefault="0081389A" w:rsidP="008F5861">
            <w:r w:rsidRPr="002F0252">
              <w:t>Strong</w:t>
            </w:r>
          </w:p>
        </w:tc>
      </w:tr>
      <w:tr w:rsidR="0081389A" w:rsidRPr="002F0252" w14:paraId="382795DE" w14:textId="77777777" w:rsidTr="0081389A">
        <w:tc>
          <w:tcPr>
            <w:tcW w:w="633" w:type="pct"/>
          </w:tcPr>
          <w:p w14:paraId="7EE0C6E7" w14:textId="77777777" w:rsidR="0081389A" w:rsidRPr="002F0252" w:rsidRDefault="0081389A" w:rsidP="008F5861">
            <w:r w:rsidRPr="002F0252">
              <w:t>Influenza vaccine</w:t>
            </w:r>
          </w:p>
        </w:tc>
        <w:tc>
          <w:tcPr>
            <w:tcW w:w="470" w:type="pct"/>
          </w:tcPr>
          <w:p w14:paraId="103B8B86" w14:textId="77777777" w:rsidR="0081389A" w:rsidRPr="002F0252" w:rsidRDefault="0081389A" w:rsidP="008F5861">
            <w:r w:rsidRPr="002F0252">
              <w:t xml:space="preserve">Van Buynder et al </w:t>
            </w:r>
          </w:p>
        </w:tc>
        <w:tc>
          <w:tcPr>
            <w:tcW w:w="252" w:type="pct"/>
          </w:tcPr>
          <w:p w14:paraId="5764540B" w14:textId="77777777" w:rsidR="0081389A" w:rsidRPr="002F0252" w:rsidRDefault="0081389A" w:rsidP="008F5861">
            <w:r w:rsidRPr="002F0252">
              <w:t>2015</w:t>
            </w:r>
          </w:p>
        </w:tc>
        <w:tc>
          <w:tcPr>
            <w:tcW w:w="668" w:type="pct"/>
          </w:tcPr>
          <w:p w14:paraId="3EF904F6" w14:textId="77777777" w:rsidR="0081389A" w:rsidRPr="002F0252" w:rsidRDefault="007569DE" w:rsidP="008F5861">
            <w:r w:rsidRPr="002F0252">
              <w:t>A study was conducted in Canada to investigate the cost</w:t>
            </w:r>
            <w:r w:rsidR="00BE5D20" w:rsidRPr="002F0252">
              <w:t>-</w:t>
            </w:r>
            <w:r w:rsidRPr="002F0252">
              <w:t xml:space="preserve">effectiveness of giving the influenza immunization vaccine to </w:t>
            </w:r>
            <w:r w:rsidR="00207803" w:rsidRPr="002F0252">
              <w:t>health care</w:t>
            </w:r>
            <w:r w:rsidRPr="002F0252">
              <w:t xml:space="preserve"> workers.</w:t>
            </w:r>
          </w:p>
        </w:tc>
        <w:tc>
          <w:tcPr>
            <w:tcW w:w="635" w:type="pct"/>
          </w:tcPr>
          <w:p w14:paraId="72401879" w14:textId="77777777" w:rsidR="0081389A" w:rsidRPr="002F0252" w:rsidRDefault="0081389A" w:rsidP="008F5861"/>
        </w:tc>
        <w:tc>
          <w:tcPr>
            <w:tcW w:w="612" w:type="pct"/>
          </w:tcPr>
          <w:p w14:paraId="1FF7C242" w14:textId="77777777" w:rsidR="0081389A" w:rsidRPr="002F0252" w:rsidRDefault="007569DE" w:rsidP="00556A88">
            <w:r w:rsidRPr="002F0252">
              <w:t>Those vaccinated had 23,473 (10,035–46,314)less illness absenteeism hours saving over $1.25 M in staff costs.</w:t>
            </w:r>
          </w:p>
        </w:tc>
        <w:tc>
          <w:tcPr>
            <w:tcW w:w="865" w:type="pct"/>
          </w:tcPr>
          <w:p w14:paraId="7EE431D1" w14:textId="77777777" w:rsidR="0081389A" w:rsidRPr="002F0252" w:rsidRDefault="007569DE" w:rsidP="007569DE">
            <w:r w:rsidRPr="002F0252">
              <w:t>The influenza vaccination was associated with reduced absenteeism, saving the Health Authority substantial money.</w:t>
            </w:r>
          </w:p>
        </w:tc>
        <w:tc>
          <w:tcPr>
            <w:tcW w:w="865" w:type="pct"/>
          </w:tcPr>
          <w:p w14:paraId="135828F2" w14:textId="77777777" w:rsidR="0081389A" w:rsidRPr="002F0252" w:rsidRDefault="0081389A" w:rsidP="008F5861">
            <w:r w:rsidRPr="002F0252">
              <w:t>Strong</w:t>
            </w:r>
          </w:p>
        </w:tc>
      </w:tr>
    </w:tbl>
    <w:p w14:paraId="61AD4A33" w14:textId="2E66B4C0" w:rsidR="00200EF4" w:rsidRDefault="00200EF4" w:rsidP="00556C47">
      <w:pPr>
        <w:rPr>
          <w:b/>
        </w:rPr>
      </w:pPr>
    </w:p>
    <w:p w14:paraId="3530EE6C" w14:textId="43BAD0FB" w:rsidR="004A7055" w:rsidRPr="009B3246" w:rsidRDefault="004A7055" w:rsidP="00556C47">
      <w:pPr>
        <w:rPr>
          <w:sz w:val="20"/>
          <w:szCs w:val="20"/>
        </w:rPr>
      </w:pPr>
      <w:r w:rsidRPr="009B3246">
        <w:rPr>
          <w:sz w:val="20"/>
          <w:szCs w:val="20"/>
        </w:rPr>
        <w:t>NOTE: Grey literature evidence may not presented in tables.</w:t>
      </w:r>
    </w:p>
    <w:p w14:paraId="50047D96" w14:textId="77777777" w:rsidR="00616EA6" w:rsidRPr="002F0252" w:rsidRDefault="00616EA6" w:rsidP="00556C47">
      <w:pPr>
        <w:rPr>
          <w:b/>
        </w:rPr>
      </w:pPr>
    </w:p>
    <w:p w14:paraId="1FD0EE0A" w14:textId="77777777" w:rsidR="00556C47" w:rsidRPr="002F0252" w:rsidRDefault="00556C47" w:rsidP="00556C47">
      <w:pPr>
        <w:sectPr w:rsidR="00556C47" w:rsidRPr="002F0252" w:rsidSect="00556C47">
          <w:pgSz w:w="16838" w:h="11906" w:orient="landscape"/>
          <w:pgMar w:top="1800" w:right="1440" w:bottom="1800" w:left="1440" w:header="708" w:footer="708" w:gutter="0"/>
          <w:cols w:space="708"/>
          <w:docGrid w:linePitch="360"/>
        </w:sectPr>
      </w:pPr>
    </w:p>
    <w:p w14:paraId="06DAB087" w14:textId="040FD305" w:rsidR="001C198D" w:rsidRPr="002F0252" w:rsidRDefault="001C198D"/>
    <w:p w14:paraId="20AA1F9E" w14:textId="77777777" w:rsidR="00850804" w:rsidRPr="002F0252" w:rsidRDefault="00850804"/>
    <w:sectPr w:rsidR="00850804" w:rsidRPr="002F0252" w:rsidSect="001C198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BC96A" w14:textId="77777777" w:rsidR="00C2176C" w:rsidRDefault="00C2176C" w:rsidP="00AE4C4C">
      <w:r>
        <w:separator/>
      </w:r>
    </w:p>
  </w:endnote>
  <w:endnote w:type="continuationSeparator" w:id="0">
    <w:p w14:paraId="5C815697" w14:textId="77777777" w:rsidR="00C2176C" w:rsidRDefault="00C2176C" w:rsidP="00AE4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760426"/>
      <w:docPartObj>
        <w:docPartGallery w:val="Page Numbers (Bottom of Page)"/>
        <w:docPartUnique/>
      </w:docPartObj>
    </w:sdtPr>
    <w:sdtEndPr>
      <w:rPr>
        <w:noProof/>
      </w:rPr>
    </w:sdtEndPr>
    <w:sdtContent>
      <w:p w14:paraId="4ED8C51F" w14:textId="603ECE91" w:rsidR="00C2176C" w:rsidRDefault="00C2176C">
        <w:pPr>
          <w:pStyle w:val="Footer"/>
          <w:jc w:val="center"/>
        </w:pPr>
        <w:r>
          <w:fldChar w:fldCharType="begin"/>
        </w:r>
        <w:r>
          <w:instrText xml:space="preserve"> PAGE   \* MERGEFORMAT </w:instrText>
        </w:r>
        <w:r>
          <w:fldChar w:fldCharType="separate"/>
        </w:r>
        <w:r w:rsidR="00143082">
          <w:rPr>
            <w:noProof/>
          </w:rPr>
          <w:t>60</w:t>
        </w:r>
        <w:r>
          <w:rPr>
            <w:noProof/>
          </w:rPr>
          <w:fldChar w:fldCharType="end"/>
        </w:r>
      </w:p>
    </w:sdtContent>
  </w:sdt>
  <w:p w14:paraId="6D0F24EE" w14:textId="77777777" w:rsidR="00C2176C" w:rsidRDefault="00C2176C" w:rsidP="00AE4C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358558"/>
      <w:docPartObj>
        <w:docPartGallery w:val="Page Numbers (Bottom of Page)"/>
        <w:docPartUnique/>
      </w:docPartObj>
    </w:sdtPr>
    <w:sdtEndPr>
      <w:rPr>
        <w:noProof/>
      </w:rPr>
    </w:sdtEndPr>
    <w:sdtContent>
      <w:p w14:paraId="7D2006F4" w14:textId="77777777" w:rsidR="00C2176C" w:rsidRDefault="00C2176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0B7B600" w14:textId="77777777" w:rsidR="00C2176C" w:rsidRDefault="00C21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0354C" w14:textId="77777777" w:rsidR="00C2176C" w:rsidRDefault="00C2176C" w:rsidP="00AE4C4C">
      <w:r>
        <w:separator/>
      </w:r>
    </w:p>
  </w:footnote>
  <w:footnote w:type="continuationSeparator" w:id="0">
    <w:p w14:paraId="5A425500" w14:textId="77777777" w:rsidR="00C2176C" w:rsidRDefault="00C2176C" w:rsidP="00AE4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0EEC4" w14:textId="753DA265" w:rsidR="00C2176C" w:rsidRDefault="00C217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860E4" w14:textId="77777777" w:rsidR="00C2176C" w:rsidRDefault="00C2176C" w:rsidP="00AE4C4C">
    <w:r>
      <w:rPr>
        <w:noProof/>
      </w:rPr>
      <w:drawing>
        <wp:anchor distT="0" distB="0" distL="114300" distR="114300" simplePos="0" relativeHeight="251657216" behindDoc="0" locked="0" layoutInCell="1" allowOverlap="1" wp14:anchorId="70490FB3" wp14:editId="3DEC4362">
          <wp:simplePos x="0" y="0"/>
          <wp:positionH relativeFrom="margin">
            <wp:posOffset>2525395</wp:posOffset>
          </wp:positionH>
          <wp:positionV relativeFrom="margin">
            <wp:posOffset>-1596390</wp:posOffset>
          </wp:positionV>
          <wp:extent cx="3488690" cy="1162050"/>
          <wp:effectExtent l="0" t="0" r="0" b="0"/>
          <wp:wrapSquare wrapText="bothSides"/>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ME-Logo-251115-.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88690" cy="1162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BE1DC19" wp14:editId="12C5683A">
          <wp:extent cx="2273300" cy="1605915"/>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gor_Logo_A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73300" cy="1605915"/>
                  </a:xfrm>
                  <a:prstGeom prst="rect">
                    <a:avLst/>
                  </a:prstGeom>
                </pic:spPr>
              </pic:pic>
            </a:graphicData>
          </a:graphic>
        </wp:inline>
      </w:drawing>
    </w:r>
  </w:p>
  <w:p w14:paraId="4E59F48D" w14:textId="77777777" w:rsidR="00C2176C" w:rsidRDefault="00C2176C" w:rsidP="00AE4C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4E08"/>
    <w:multiLevelType w:val="hybridMultilevel"/>
    <w:tmpl w:val="8862AB9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32D5B"/>
    <w:multiLevelType w:val="multilevel"/>
    <w:tmpl w:val="581A3A54"/>
    <w:lvl w:ilvl="0">
      <w:start w:val="1"/>
      <w:numFmt w:val="bullet"/>
      <w:lvlText w:val=""/>
      <w:lvlJc w:val="left"/>
      <w:pPr>
        <w:ind w:left="765" w:hanging="360"/>
      </w:pPr>
      <w:rPr>
        <w:rFonts w:ascii="Symbol" w:hAnsi="Symbol" w:hint="default"/>
      </w:rPr>
    </w:lvl>
    <w:lvl w:ilvl="1">
      <w:numFmt w:val="decimal"/>
      <w:isLgl/>
      <w:lvlText w:val="%1.%2"/>
      <w:lvlJc w:val="left"/>
      <w:pPr>
        <w:ind w:left="1125" w:hanging="720"/>
      </w:pPr>
      <w:rPr>
        <w:rFonts w:hint="default"/>
      </w:rPr>
    </w:lvl>
    <w:lvl w:ilvl="2">
      <w:start w:val="1"/>
      <w:numFmt w:val="decimal"/>
      <w:isLgl/>
      <w:lvlText w:val="%1.%2.%3"/>
      <w:lvlJc w:val="left"/>
      <w:pPr>
        <w:ind w:left="1485" w:hanging="1080"/>
      </w:pPr>
      <w:rPr>
        <w:rFonts w:hint="default"/>
      </w:rPr>
    </w:lvl>
    <w:lvl w:ilvl="3">
      <w:start w:val="1"/>
      <w:numFmt w:val="decimal"/>
      <w:isLgl/>
      <w:lvlText w:val="%1.%2.%3.%4"/>
      <w:lvlJc w:val="left"/>
      <w:pPr>
        <w:ind w:left="1845" w:hanging="1440"/>
      </w:pPr>
      <w:rPr>
        <w:rFonts w:hint="default"/>
      </w:rPr>
    </w:lvl>
    <w:lvl w:ilvl="4">
      <w:start w:val="1"/>
      <w:numFmt w:val="decimal"/>
      <w:isLgl/>
      <w:lvlText w:val="%1.%2.%3.%4.%5"/>
      <w:lvlJc w:val="left"/>
      <w:pPr>
        <w:ind w:left="2205" w:hanging="1800"/>
      </w:pPr>
      <w:rPr>
        <w:rFonts w:hint="default"/>
      </w:rPr>
    </w:lvl>
    <w:lvl w:ilvl="5">
      <w:start w:val="1"/>
      <w:numFmt w:val="decimal"/>
      <w:isLgl/>
      <w:lvlText w:val="%1.%2.%3.%4.%5.%6"/>
      <w:lvlJc w:val="left"/>
      <w:pPr>
        <w:ind w:left="2565" w:hanging="2160"/>
      </w:pPr>
      <w:rPr>
        <w:rFonts w:hint="default"/>
      </w:rPr>
    </w:lvl>
    <w:lvl w:ilvl="6">
      <w:start w:val="1"/>
      <w:numFmt w:val="decimal"/>
      <w:isLgl/>
      <w:lvlText w:val="%1.%2.%3.%4.%5.%6.%7"/>
      <w:lvlJc w:val="left"/>
      <w:pPr>
        <w:ind w:left="3285" w:hanging="2880"/>
      </w:pPr>
      <w:rPr>
        <w:rFonts w:hint="default"/>
      </w:rPr>
    </w:lvl>
    <w:lvl w:ilvl="7">
      <w:start w:val="1"/>
      <w:numFmt w:val="decimal"/>
      <w:isLgl/>
      <w:lvlText w:val="%1.%2.%3.%4.%5.%6.%7.%8"/>
      <w:lvlJc w:val="left"/>
      <w:pPr>
        <w:ind w:left="3645" w:hanging="3240"/>
      </w:pPr>
      <w:rPr>
        <w:rFonts w:hint="default"/>
      </w:rPr>
    </w:lvl>
    <w:lvl w:ilvl="8">
      <w:start w:val="1"/>
      <w:numFmt w:val="decimal"/>
      <w:isLgl/>
      <w:lvlText w:val="%1.%2.%3.%4.%5.%6.%7.%8.%9"/>
      <w:lvlJc w:val="left"/>
      <w:pPr>
        <w:ind w:left="4005" w:hanging="3600"/>
      </w:pPr>
      <w:rPr>
        <w:rFonts w:hint="default"/>
      </w:rPr>
    </w:lvl>
  </w:abstractNum>
  <w:abstractNum w:abstractNumId="2" w15:restartNumberingAfterBreak="0">
    <w:nsid w:val="0C250872"/>
    <w:multiLevelType w:val="hybridMultilevel"/>
    <w:tmpl w:val="5F88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D039E7"/>
    <w:multiLevelType w:val="hybridMultilevel"/>
    <w:tmpl w:val="BEE4E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94EEE"/>
    <w:multiLevelType w:val="hybridMultilevel"/>
    <w:tmpl w:val="984C47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3081C4C"/>
    <w:multiLevelType w:val="hybridMultilevel"/>
    <w:tmpl w:val="EEBA0806"/>
    <w:lvl w:ilvl="0" w:tplc="D2DAB4BA">
      <w:start w:val="1"/>
      <w:numFmt w:val="decimal"/>
      <w:lvlText w:val="%1"/>
      <w:lvlJc w:val="left"/>
      <w:pPr>
        <w:ind w:left="1138" w:hanging="57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6" w15:restartNumberingAfterBreak="0">
    <w:nsid w:val="2EF763CC"/>
    <w:multiLevelType w:val="hybridMultilevel"/>
    <w:tmpl w:val="C2D03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6177DD"/>
    <w:multiLevelType w:val="hybridMultilevel"/>
    <w:tmpl w:val="6BEEE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501D75"/>
    <w:multiLevelType w:val="multilevel"/>
    <w:tmpl w:val="A9EAE4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0313A1F"/>
    <w:multiLevelType w:val="hybridMultilevel"/>
    <w:tmpl w:val="DC009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F055AB"/>
    <w:multiLevelType w:val="hybridMultilevel"/>
    <w:tmpl w:val="A55A0056"/>
    <w:lvl w:ilvl="0" w:tplc="0452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8B364F"/>
    <w:multiLevelType w:val="hybridMultilevel"/>
    <w:tmpl w:val="5486E9CA"/>
    <w:lvl w:ilvl="0" w:tplc="0452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A2644C"/>
    <w:multiLevelType w:val="hybridMultilevel"/>
    <w:tmpl w:val="EBE098E8"/>
    <w:lvl w:ilvl="0" w:tplc="0452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F87E50"/>
    <w:multiLevelType w:val="multilevel"/>
    <w:tmpl w:val="41D62DEA"/>
    <w:lvl w:ilvl="0">
      <w:start w:val="1"/>
      <w:numFmt w:val="decimal"/>
      <w:lvlText w:val="%1."/>
      <w:lvlJc w:val="left"/>
      <w:pPr>
        <w:ind w:left="765" w:hanging="360"/>
      </w:pPr>
    </w:lvl>
    <w:lvl w:ilvl="1">
      <w:numFmt w:val="decimal"/>
      <w:isLgl/>
      <w:lvlText w:val="%1.%2"/>
      <w:lvlJc w:val="left"/>
      <w:pPr>
        <w:ind w:left="1125" w:hanging="720"/>
      </w:pPr>
      <w:rPr>
        <w:rFonts w:hint="default"/>
      </w:rPr>
    </w:lvl>
    <w:lvl w:ilvl="2">
      <w:start w:val="1"/>
      <w:numFmt w:val="decimal"/>
      <w:isLgl/>
      <w:lvlText w:val="%1.%2.%3"/>
      <w:lvlJc w:val="left"/>
      <w:pPr>
        <w:ind w:left="1485" w:hanging="1080"/>
      </w:pPr>
      <w:rPr>
        <w:rFonts w:hint="default"/>
      </w:rPr>
    </w:lvl>
    <w:lvl w:ilvl="3">
      <w:start w:val="1"/>
      <w:numFmt w:val="decimal"/>
      <w:isLgl/>
      <w:lvlText w:val="%1.%2.%3.%4"/>
      <w:lvlJc w:val="left"/>
      <w:pPr>
        <w:ind w:left="1845" w:hanging="1440"/>
      </w:pPr>
      <w:rPr>
        <w:rFonts w:hint="default"/>
      </w:rPr>
    </w:lvl>
    <w:lvl w:ilvl="4">
      <w:start w:val="1"/>
      <w:numFmt w:val="decimal"/>
      <w:isLgl/>
      <w:lvlText w:val="%1.%2.%3.%4.%5"/>
      <w:lvlJc w:val="left"/>
      <w:pPr>
        <w:ind w:left="2205" w:hanging="1800"/>
      </w:pPr>
      <w:rPr>
        <w:rFonts w:hint="default"/>
      </w:rPr>
    </w:lvl>
    <w:lvl w:ilvl="5">
      <w:start w:val="1"/>
      <w:numFmt w:val="decimal"/>
      <w:isLgl/>
      <w:lvlText w:val="%1.%2.%3.%4.%5.%6"/>
      <w:lvlJc w:val="left"/>
      <w:pPr>
        <w:ind w:left="2565" w:hanging="2160"/>
      </w:pPr>
      <w:rPr>
        <w:rFonts w:hint="default"/>
      </w:rPr>
    </w:lvl>
    <w:lvl w:ilvl="6">
      <w:start w:val="1"/>
      <w:numFmt w:val="decimal"/>
      <w:isLgl/>
      <w:lvlText w:val="%1.%2.%3.%4.%5.%6.%7"/>
      <w:lvlJc w:val="left"/>
      <w:pPr>
        <w:ind w:left="3285" w:hanging="2880"/>
      </w:pPr>
      <w:rPr>
        <w:rFonts w:hint="default"/>
      </w:rPr>
    </w:lvl>
    <w:lvl w:ilvl="7">
      <w:start w:val="1"/>
      <w:numFmt w:val="decimal"/>
      <w:isLgl/>
      <w:lvlText w:val="%1.%2.%3.%4.%5.%6.%7.%8"/>
      <w:lvlJc w:val="left"/>
      <w:pPr>
        <w:ind w:left="3645" w:hanging="3240"/>
      </w:pPr>
      <w:rPr>
        <w:rFonts w:hint="default"/>
      </w:rPr>
    </w:lvl>
    <w:lvl w:ilvl="8">
      <w:start w:val="1"/>
      <w:numFmt w:val="decimal"/>
      <w:isLgl/>
      <w:lvlText w:val="%1.%2.%3.%4.%5.%6.%7.%8.%9"/>
      <w:lvlJc w:val="left"/>
      <w:pPr>
        <w:ind w:left="4005" w:hanging="3600"/>
      </w:pPr>
      <w:rPr>
        <w:rFonts w:hint="default"/>
      </w:rPr>
    </w:lvl>
  </w:abstractNum>
  <w:abstractNum w:abstractNumId="14" w15:restartNumberingAfterBreak="0">
    <w:nsid w:val="6BDB06DA"/>
    <w:multiLevelType w:val="hybridMultilevel"/>
    <w:tmpl w:val="FFF27E1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075F76"/>
    <w:multiLevelType w:val="hybridMultilevel"/>
    <w:tmpl w:val="4C9C8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254D57"/>
    <w:multiLevelType w:val="multilevel"/>
    <w:tmpl w:val="AE602118"/>
    <w:lvl w:ilvl="0">
      <w:start w:val="1"/>
      <w:numFmt w:val="decimal"/>
      <w:lvlText w:val="%1"/>
      <w:lvlJc w:val="left"/>
      <w:pPr>
        <w:ind w:left="432" w:hanging="432"/>
      </w:pPr>
    </w:lvl>
    <w:lvl w:ilvl="1">
      <w:start w:val="1"/>
      <w:numFmt w:val="decimal"/>
      <w:lvlText w:val="%1.%2"/>
      <w:lvlJc w:val="left"/>
      <w:pPr>
        <w:ind w:left="2419" w:hanging="576"/>
      </w:pPr>
    </w:lvl>
    <w:lvl w:ilvl="2">
      <w:start w:val="1"/>
      <w:numFmt w:val="decimal"/>
      <w:lvlText w:val="%3."/>
      <w:lvlJc w:val="left"/>
      <w:pPr>
        <w:ind w:left="720" w:hanging="720"/>
      </w:pPr>
    </w:lvl>
    <w:lvl w:ilvl="3">
      <w:start w:val="1"/>
      <w:numFmt w:val="decimal"/>
      <w:lvlText w:val="%1.%2.%3.%4"/>
      <w:lvlJc w:val="left"/>
      <w:pPr>
        <w:ind w:left="894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FCD3BC0"/>
    <w:multiLevelType w:val="multilevel"/>
    <w:tmpl w:val="04520025"/>
    <w:lvl w:ilvl="0">
      <w:start w:val="1"/>
      <w:numFmt w:val="decimal"/>
      <w:pStyle w:val="Heading1"/>
      <w:lvlText w:val="%1"/>
      <w:lvlJc w:val="left"/>
      <w:pPr>
        <w:ind w:left="432" w:hanging="432"/>
      </w:pPr>
    </w:lvl>
    <w:lvl w:ilvl="1">
      <w:start w:val="1"/>
      <w:numFmt w:val="decimal"/>
      <w:pStyle w:val="Heading2"/>
      <w:lvlText w:val="%1.%2"/>
      <w:lvlJc w:val="left"/>
      <w:pPr>
        <w:ind w:left="2419" w:hanging="576"/>
      </w:pPr>
    </w:lvl>
    <w:lvl w:ilvl="2">
      <w:start w:val="1"/>
      <w:numFmt w:val="decimal"/>
      <w:pStyle w:val="Heading3"/>
      <w:lvlText w:val="%1.%2.%3"/>
      <w:lvlJc w:val="left"/>
      <w:pPr>
        <w:ind w:left="720" w:hanging="720"/>
      </w:pPr>
    </w:lvl>
    <w:lvl w:ilvl="3">
      <w:start w:val="1"/>
      <w:numFmt w:val="decimal"/>
      <w:lvlText w:val="%1.%2.%3.%4"/>
      <w:lvlJc w:val="left"/>
      <w:pPr>
        <w:ind w:left="894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3"/>
  </w:num>
  <w:num w:numId="2">
    <w:abstractNumId w:val="17"/>
  </w:num>
  <w:num w:numId="3">
    <w:abstractNumId w:val="9"/>
  </w:num>
  <w:num w:numId="4">
    <w:abstractNumId w:val="6"/>
  </w:num>
  <w:num w:numId="5">
    <w:abstractNumId w:val="7"/>
  </w:num>
  <w:num w:numId="6">
    <w:abstractNumId w:val="2"/>
  </w:num>
  <w:num w:numId="7">
    <w:abstractNumId w:val="3"/>
  </w:num>
  <w:num w:numId="8">
    <w:abstractNumId w:val="12"/>
  </w:num>
  <w:num w:numId="9">
    <w:abstractNumId w:val="11"/>
  </w:num>
  <w:num w:numId="10">
    <w:abstractNumId w:val="10"/>
  </w:num>
  <w:num w:numId="11">
    <w:abstractNumId w:val="1"/>
  </w:num>
  <w:num w:numId="12">
    <w:abstractNumId w:val="14"/>
  </w:num>
  <w:num w:numId="13">
    <w:abstractNumId w:val="0"/>
  </w:num>
  <w:num w:numId="14">
    <w:abstractNumId w:val="4"/>
  </w:num>
  <w:num w:numId="15">
    <w:abstractNumId w:val="16"/>
  </w:num>
  <w:num w:numId="16">
    <w:abstractNumId w:val="5"/>
  </w:num>
  <w:num w:numId="17">
    <w:abstractNumId w:val="8"/>
  </w:num>
  <w:num w:numId="18">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3EB"/>
    <w:rsid w:val="00000099"/>
    <w:rsid w:val="000002A7"/>
    <w:rsid w:val="0000088C"/>
    <w:rsid w:val="0000092F"/>
    <w:rsid w:val="00000C6F"/>
    <w:rsid w:val="00001860"/>
    <w:rsid w:val="00003030"/>
    <w:rsid w:val="00003068"/>
    <w:rsid w:val="00004CB2"/>
    <w:rsid w:val="0000546F"/>
    <w:rsid w:val="00005A98"/>
    <w:rsid w:val="00006C26"/>
    <w:rsid w:val="00007314"/>
    <w:rsid w:val="00007E6A"/>
    <w:rsid w:val="00010BF5"/>
    <w:rsid w:val="00011216"/>
    <w:rsid w:val="00011E2D"/>
    <w:rsid w:val="00012C60"/>
    <w:rsid w:val="00012F13"/>
    <w:rsid w:val="00013340"/>
    <w:rsid w:val="00013BE5"/>
    <w:rsid w:val="000141E8"/>
    <w:rsid w:val="00014AC8"/>
    <w:rsid w:val="00014E91"/>
    <w:rsid w:val="00015E1D"/>
    <w:rsid w:val="00017064"/>
    <w:rsid w:val="00017B4D"/>
    <w:rsid w:val="00017E1A"/>
    <w:rsid w:val="00020025"/>
    <w:rsid w:val="00020497"/>
    <w:rsid w:val="00020CF8"/>
    <w:rsid w:val="00021FEC"/>
    <w:rsid w:val="000226BA"/>
    <w:rsid w:val="000227F7"/>
    <w:rsid w:val="000228FA"/>
    <w:rsid w:val="000230C5"/>
    <w:rsid w:val="00025CFD"/>
    <w:rsid w:val="00026298"/>
    <w:rsid w:val="000264CE"/>
    <w:rsid w:val="0002690B"/>
    <w:rsid w:val="000273A9"/>
    <w:rsid w:val="00027BFA"/>
    <w:rsid w:val="0003024C"/>
    <w:rsid w:val="00030389"/>
    <w:rsid w:val="0003082F"/>
    <w:rsid w:val="000308AD"/>
    <w:rsid w:val="00030A15"/>
    <w:rsid w:val="00030FA0"/>
    <w:rsid w:val="00031A36"/>
    <w:rsid w:val="0003268A"/>
    <w:rsid w:val="00032B21"/>
    <w:rsid w:val="000330CB"/>
    <w:rsid w:val="0003328E"/>
    <w:rsid w:val="0003415E"/>
    <w:rsid w:val="000346E2"/>
    <w:rsid w:val="0003543A"/>
    <w:rsid w:val="00035E80"/>
    <w:rsid w:val="00035FEB"/>
    <w:rsid w:val="00040776"/>
    <w:rsid w:val="00041F1B"/>
    <w:rsid w:val="00042281"/>
    <w:rsid w:val="00042865"/>
    <w:rsid w:val="0004296B"/>
    <w:rsid w:val="00042C9C"/>
    <w:rsid w:val="0004351F"/>
    <w:rsid w:val="00043881"/>
    <w:rsid w:val="00044F00"/>
    <w:rsid w:val="0004511F"/>
    <w:rsid w:val="000467F8"/>
    <w:rsid w:val="00047777"/>
    <w:rsid w:val="00052A1C"/>
    <w:rsid w:val="00052A89"/>
    <w:rsid w:val="00053577"/>
    <w:rsid w:val="00053EF2"/>
    <w:rsid w:val="00053FC8"/>
    <w:rsid w:val="00054D1C"/>
    <w:rsid w:val="00055A32"/>
    <w:rsid w:val="00055D29"/>
    <w:rsid w:val="000560AD"/>
    <w:rsid w:val="00056420"/>
    <w:rsid w:val="0005688D"/>
    <w:rsid w:val="00057AFE"/>
    <w:rsid w:val="0006121F"/>
    <w:rsid w:val="00062848"/>
    <w:rsid w:val="00062BC4"/>
    <w:rsid w:val="00062C33"/>
    <w:rsid w:val="000631BE"/>
    <w:rsid w:val="00063283"/>
    <w:rsid w:val="00064F59"/>
    <w:rsid w:val="00065098"/>
    <w:rsid w:val="000654D4"/>
    <w:rsid w:val="0006577A"/>
    <w:rsid w:val="00065869"/>
    <w:rsid w:val="00065934"/>
    <w:rsid w:val="00066284"/>
    <w:rsid w:val="00066CE8"/>
    <w:rsid w:val="00066EAF"/>
    <w:rsid w:val="00070DDD"/>
    <w:rsid w:val="0007162B"/>
    <w:rsid w:val="000717A5"/>
    <w:rsid w:val="000732B0"/>
    <w:rsid w:val="00073DC3"/>
    <w:rsid w:val="000766CF"/>
    <w:rsid w:val="0007691D"/>
    <w:rsid w:val="000808B1"/>
    <w:rsid w:val="00080CA6"/>
    <w:rsid w:val="0008101E"/>
    <w:rsid w:val="00081A1F"/>
    <w:rsid w:val="00082537"/>
    <w:rsid w:val="0008358E"/>
    <w:rsid w:val="0008361A"/>
    <w:rsid w:val="00083899"/>
    <w:rsid w:val="00083AC2"/>
    <w:rsid w:val="00083F35"/>
    <w:rsid w:val="00083FE2"/>
    <w:rsid w:val="00084AF2"/>
    <w:rsid w:val="0008629A"/>
    <w:rsid w:val="000867AE"/>
    <w:rsid w:val="000872FE"/>
    <w:rsid w:val="000902D3"/>
    <w:rsid w:val="0009090F"/>
    <w:rsid w:val="000911BA"/>
    <w:rsid w:val="000915E8"/>
    <w:rsid w:val="00091A54"/>
    <w:rsid w:val="00091CA4"/>
    <w:rsid w:val="00091F6F"/>
    <w:rsid w:val="000926E1"/>
    <w:rsid w:val="0009374D"/>
    <w:rsid w:val="000944CF"/>
    <w:rsid w:val="000949FC"/>
    <w:rsid w:val="0009565B"/>
    <w:rsid w:val="0009573B"/>
    <w:rsid w:val="00095EBD"/>
    <w:rsid w:val="000975FF"/>
    <w:rsid w:val="000A0308"/>
    <w:rsid w:val="000A0B4C"/>
    <w:rsid w:val="000A12D9"/>
    <w:rsid w:val="000A159D"/>
    <w:rsid w:val="000A2739"/>
    <w:rsid w:val="000A2AE3"/>
    <w:rsid w:val="000A5E06"/>
    <w:rsid w:val="000A6288"/>
    <w:rsid w:val="000A669E"/>
    <w:rsid w:val="000A6711"/>
    <w:rsid w:val="000A67D0"/>
    <w:rsid w:val="000A6A6B"/>
    <w:rsid w:val="000A6D27"/>
    <w:rsid w:val="000B0778"/>
    <w:rsid w:val="000B1857"/>
    <w:rsid w:val="000B18A8"/>
    <w:rsid w:val="000B18B8"/>
    <w:rsid w:val="000B2059"/>
    <w:rsid w:val="000B2CC0"/>
    <w:rsid w:val="000B3C75"/>
    <w:rsid w:val="000B4C91"/>
    <w:rsid w:val="000B4DD8"/>
    <w:rsid w:val="000B5B23"/>
    <w:rsid w:val="000B61B7"/>
    <w:rsid w:val="000B62FB"/>
    <w:rsid w:val="000B659D"/>
    <w:rsid w:val="000B6CE3"/>
    <w:rsid w:val="000B71CD"/>
    <w:rsid w:val="000B7F82"/>
    <w:rsid w:val="000C038C"/>
    <w:rsid w:val="000C218C"/>
    <w:rsid w:val="000C3692"/>
    <w:rsid w:val="000C3839"/>
    <w:rsid w:val="000C5424"/>
    <w:rsid w:val="000C68D4"/>
    <w:rsid w:val="000C73B0"/>
    <w:rsid w:val="000D072E"/>
    <w:rsid w:val="000D17E0"/>
    <w:rsid w:val="000D1B57"/>
    <w:rsid w:val="000D3050"/>
    <w:rsid w:val="000D37AF"/>
    <w:rsid w:val="000D3881"/>
    <w:rsid w:val="000D388B"/>
    <w:rsid w:val="000D49D9"/>
    <w:rsid w:val="000D5223"/>
    <w:rsid w:val="000D57B6"/>
    <w:rsid w:val="000D5C3E"/>
    <w:rsid w:val="000D6FAB"/>
    <w:rsid w:val="000D6FE9"/>
    <w:rsid w:val="000D7101"/>
    <w:rsid w:val="000D76E4"/>
    <w:rsid w:val="000D7C5B"/>
    <w:rsid w:val="000D7CB4"/>
    <w:rsid w:val="000E03D6"/>
    <w:rsid w:val="000E145B"/>
    <w:rsid w:val="000E29CE"/>
    <w:rsid w:val="000E2D85"/>
    <w:rsid w:val="000E3202"/>
    <w:rsid w:val="000E3D81"/>
    <w:rsid w:val="000E4BF8"/>
    <w:rsid w:val="000E68BD"/>
    <w:rsid w:val="000E6991"/>
    <w:rsid w:val="000E7210"/>
    <w:rsid w:val="000E7894"/>
    <w:rsid w:val="000F008B"/>
    <w:rsid w:val="000F09EC"/>
    <w:rsid w:val="000F1176"/>
    <w:rsid w:val="000F19EF"/>
    <w:rsid w:val="000F2257"/>
    <w:rsid w:val="000F2466"/>
    <w:rsid w:val="000F28C4"/>
    <w:rsid w:val="000F3330"/>
    <w:rsid w:val="000F33E7"/>
    <w:rsid w:val="000F36AE"/>
    <w:rsid w:val="000F3A36"/>
    <w:rsid w:val="000F3F6E"/>
    <w:rsid w:val="000F3F71"/>
    <w:rsid w:val="000F48D3"/>
    <w:rsid w:val="000F53CC"/>
    <w:rsid w:val="000F6620"/>
    <w:rsid w:val="000F6D55"/>
    <w:rsid w:val="001007A2"/>
    <w:rsid w:val="00100CFB"/>
    <w:rsid w:val="0010125D"/>
    <w:rsid w:val="00101418"/>
    <w:rsid w:val="00101963"/>
    <w:rsid w:val="001045E2"/>
    <w:rsid w:val="001052EF"/>
    <w:rsid w:val="001061F4"/>
    <w:rsid w:val="0010734E"/>
    <w:rsid w:val="00107F89"/>
    <w:rsid w:val="00110C48"/>
    <w:rsid w:val="00111428"/>
    <w:rsid w:val="001114AC"/>
    <w:rsid w:val="0011157A"/>
    <w:rsid w:val="001119B1"/>
    <w:rsid w:val="00111A9C"/>
    <w:rsid w:val="00112156"/>
    <w:rsid w:val="00112369"/>
    <w:rsid w:val="001125E2"/>
    <w:rsid w:val="00112A7F"/>
    <w:rsid w:val="0011303E"/>
    <w:rsid w:val="00115323"/>
    <w:rsid w:val="00116045"/>
    <w:rsid w:val="001167E0"/>
    <w:rsid w:val="0011686D"/>
    <w:rsid w:val="00116FAE"/>
    <w:rsid w:val="001171D1"/>
    <w:rsid w:val="00117792"/>
    <w:rsid w:val="001177CE"/>
    <w:rsid w:val="0012043E"/>
    <w:rsid w:val="00120A8B"/>
    <w:rsid w:val="0012159B"/>
    <w:rsid w:val="00121EDD"/>
    <w:rsid w:val="00121F1C"/>
    <w:rsid w:val="00122265"/>
    <w:rsid w:val="0012247E"/>
    <w:rsid w:val="0012393C"/>
    <w:rsid w:val="00123B48"/>
    <w:rsid w:val="00123C4C"/>
    <w:rsid w:val="00124287"/>
    <w:rsid w:val="00124725"/>
    <w:rsid w:val="00124C35"/>
    <w:rsid w:val="001257F1"/>
    <w:rsid w:val="00126DB1"/>
    <w:rsid w:val="00126E07"/>
    <w:rsid w:val="001275F2"/>
    <w:rsid w:val="00130993"/>
    <w:rsid w:val="0013241A"/>
    <w:rsid w:val="00133640"/>
    <w:rsid w:val="0013378C"/>
    <w:rsid w:val="00133C29"/>
    <w:rsid w:val="00133E62"/>
    <w:rsid w:val="001348F2"/>
    <w:rsid w:val="00134C3D"/>
    <w:rsid w:val="00137368"/>
    <w:rsid w:val="0013743C"/>
    <w:rsid w:val="001405FF"/>
    <w:rsid w:val="0014103C"/>
    <w:rsid w:val="00141693"/>
    <w:rsid w:val="00143082"/>
    <w:rsid w:val="0014331D"/>
    <w:rsid w:val="0014393C"/>
    <w:rsid w:val="00143AD5"/>
    <w:rsid w:val="00143C13"/>
    <w:rsid w:val="00143D02"/>
    <w:rsid w:val="00143F94"/>
    <w:rsid w:val="00144BBB"/>
    <w:rsid w:val="00145369"/>
    <w:rsid w:val="001469DE"/>
    <w:rsid w:val="001473AB"/>
    <w:rsid w:val="001475D5"/>
    <w:rsid w:val="001503D4"/>
    <w:rsid w:val="001509E6"/>
    <w:rsid w:val="00150E72"/>
    <w:rsid w:val="00152364"/>
    <w:rsid w:val="001531C5"/>
    <w:rsid w:val="00154B22"/>
    <w:rsid w:val="00154D2B"/>
    <w:rsid w:val="00154E46"/>
    <w:rsid w:val="001570D2"/>
    <w:rsid w:val="001578F4"/>
    <w:rsid w:val="001605C7"/>
    <w:rsid w:val="00160659"/>
    <w:rsid w:val="0016292D"/>
    <w:rsid w:val="00163031"/>
    <w:rsid w:val="00163137"/>
    <w:rsid w:val="001633CB"/>
    <w:rsid w:val="00164779"/>
    <w:rsid w:val="001660C0"/>
    <w:rsid w:val="001663EB"/>
    <w:rsid w:val="0016668F"/>
    <w:rsid w:val="001669BD"/>
    <w:rsid w:val="001678D6"/>
    <w:rsid w:val="001704FF"/>
    <w:rsid w:val="00170E7C"/>
    <w:rsid w:val="0017128F"/>
    <w:rsid w:val="001712BC"/>
    <w:rsid w:val="00173B52"/>
    <w:rsid w:val="00174C0A"/>
    <w:rsid w:val="0017567D"/>
    <w:rsid w:val="001760A2"/>
    <w:rsid w:val="0018134E"/>
    <w:rsid w:val="00183721"/>
    <w:rsid w:val="00185C27"/>
    <w:rsid w:val="00185EDC"/>
    <w:rsid w:val="0018666F"/>
    <w:rsid w:val="00186FB5"/>
    <w:rsid w:val="001870D6"/>
    <w:rsid w:val="0018782A"/>
    <w:rsid w:val="00190006"/>
    <w:rsid w:val="00190A38"/>
    <w:rsid w:val="00190DAA"/>
    <w:rsid w:val="00191075"/>
    <w:rsid w:val="0019158D"/>
    <w:rsid w:val="0019234C"/>
    <w:rsid w:val="001925E6"/>
    <w:rsid w:val="0019383D"/>
    <w:rsid w:val="00194782"/>
    <w:rsid w:val="00194AE1"/>
    <w:rsid w:val="0019505B"/>
    <w:rsid w:val="001950DE"/>
    <w:rsid w:val="001957B3"/>
    <w:rsid w:val="0019618F"/>
    <w:rsid w:val="00196463"/>
    <w:rsid w:val="00196F99"/>
    <w:rsid w:val="001972AA"/>
    <w:rsid w:val="001976F2"/>
    <w:rsid w:val="001A0BE6"/>
    <w:rsid w:val="001A0F45"/>
    <w:rsid w:val="001A1588"/>
    <w:rsid w:val="001A1978"/>
    <w:rsid w:val="001A3611"/>
    <w:rsid w:val="001A7041"/>
    <w:rsid w:val="001A7985"/>
    <w:rsid w:val="001B002E"/>
    <w:rsid w:val="001B08F9"/>
    <w:rsid w:val="001B0A95"/>
    <w:rsid w:val="001B0AE6"/>
    <w:rsid w:val="001B111C"/>
    <w:rsid w:val="001B15E4"/>
    <w:rsid w:val="001B38A3"/>
    <w:rsid w:val="001B3B93"/>
    <w:rsid w:val="001B4731"/>
    <w:rsid w:val="001B49E7"/>
    <w:rsid w:val="001B4DEF"/>
    <w:rsid w:val="001B4E38"/>
    <w:rsid w:val="001B4E6E"/>
    <w:rsid w:val="001B6678"/>
    <w:rsid w:val="001B6A5C"/>
    <w:rsid w:val="001B7820"/>
    <w:rsid w:val="001C02D0"/>
    <w:rsid w:val="001C04EA"/>
    <w:rsid w:val="001C0D97"/>
    <w:rsid w:val="001C18B8"/>
    <w:rsid w:val="001C198D"/>
    <w:rsid w:val="001C1F69"/>
    <w:rsid w:val="001C2B0A"/>
    <w:rsid w:val="001C3078"/>
    <w:rsid w:val="001C3419"/>
    <w:rsid w:val="001C3AE7"/>
    <w:rsid w:val="001C3BE1"/>
    <w:rsid w:val="001C4B1B"/>
    <w:rsid w:val="001C4E25"/>
    <w:rsid w:val="001C4F1D"/>
    <w:rsid w:val="001C722C"/>
    <w:rsid w:val="001C74EC"/>
    <w:rsid w:val="001C7830"/>
    <w:rsid w:val="001C7E1E"/>
    <w:rsid w:val="001C7ED4"/>
    <w:rsid w:val="001C7F47"/>
    <w:rsid w:val="001D0303"/>
    <w:rsid w:val="001D1234"/>
    <w:rsid w:val="001D2784"/>
    <w:rsid w:val="001D2FDA"/>
    <w:rsid w:val="001D3382"/>
    <w:rsid w:val="001D37AE"/>
    <w:rsid w:val="001D3A67"/>
    <w:rsid w:val="001D3F00"/>
    <w:rsid w:val="001D53E7"/>
    <w:rsid w:val="001D6E52"/>
    <w:rsid w:val="001D73F4"/>
    <w:rsid w:val="001D75EA"/>
    <w:rsid w:val="001D7AA9"/>
    <w:rsid w:val="001E0517"/>
    <w:rsid w:val="001E125D"/>
    <w:rsid w:val="001E1D21"/>
    <w:rsid w:val="001E274A"/>
    <w:rsid w:val="001E5416"/>
    <w:rsid w:val="001E7473"/>
    <w:rsid w:val="001E7CFE"/>
    <w:rsid w:val="001E7F86"/>
    <w:rsid w:val="001F0C4A"/>
    <w:rsid w:val="001F1483"/>
    <w:rsid w:val="001F17F3"/>
    <w:rsid w:val="001F1EAC"/>
    <w:rsid w:val="001F21FD"/>
    <w:rsid w:val="001F230B"/>
    <w:rsid w:val="001F2995"/>
    <w:rsid w:val="001F2996"/>
    <w:rsid w:val="001F3129"/>
    <w:rsid w:val="001F37C1"/>
    <w:rsid w:val="001F45EE"/>
    <w:rsid w:val="001F49C5"/>
    <w:rsid w:val="001F66EB"/>
    <w:rsid w:val="001F702C"/>
    <w:rsid w:val="001F726D"/>
    <w:rsid w:val="001F7531"/>
    <w:rsid w:val="00200EF4"/>
    <w:rsid w:val="00201982"/>
    <w:rsid w:val="00201E08"/>
    <w:rsid w:val="00202878"/>
    <w:rsid w:val="00202A19"/>
    <w:rsid w:val="002041A2"/>
    <w:rsid w:val="00204577"/>
    <w:rsid w:val="00204981"/>
    <w:rsid w:val="002055CA"/>
    <w:rsid w:val="0020573D"/>
    <w:rsid w:val="00205FCB"/>
    <w:rsid w:val="0020681F"/>
    <w:rsid w:val="00207019"/>
    <w:rsid w:val="00207803"/>
    <w:rsid w:val="00211DE5"/>
    <w:rsid w:val="0021223D"/>
    <w:rsid w:val="00212886"/>
    <w:rsid w:val="00212C66"/>
    <w:rsid w:val="00213306"/>
    <w:rsid w:val="00213A1C"/>
    <w:rsid w:val="00214885"/>
    <w:rsid w:val="002149D7"/>
    <w:rsid w:val="00214B26"/>
    <w:rsid w:val="00214E88"/>
    <w:rsid w:val="0021776E"/>
    <w:rsid w:val="0022077D"/>
    <w:rsid w:val="002209F6"/>
    <w:rsid w:val="00220B69"/>
    <w:rsid w:val="00220E3C"/>
    <w:rsid w:val="00221CCD"/>
    <w:rsid w:val="00222760"/>
    <w:rsid w:val="00223DCE"/>
    <w:rsid w:val="00225404"/>
    <w:rsid w:val="002263C0"/>
    <w:rsid w:val="0022654A"/>
    <w:rsid w:val="00226869"/>
    <w:rsid w:val="00226892"/>
    <w:rsid w:val="002276CD"/>
    <w:rsid w:val="0022773C"/>
    <w:rsid w:val="002308CF"/>
    <w:rsid w:val="00231387"/>
    <w:rsid w:val="00231B57"/>
    <w:rsid w:val="00231D89"/>
    <w:rsid w:val="002321A3"/>
    <w:rsid w:val="00232879"/>
    <w:rsid w:val="002329F4"/>
    <w:rsid w:val="002336A0"/>
    <w:rsid w:val="002344AF"/>
    <w:rsid w:val="00234991"/>
    <w:rsid w:val="0023562E"/>
    <w:rsid w:val="00235CE8"/>
    <w:rsid w:val="00236E53"/>
    <w:rsid w:val="00240221"/>
    <w:rsid w:val="002406C6"/>
    <w:rsid w:val="002410B6"/>
    <w:rsid w:val="00242890"/>
    <w:rsid w:val="00243140"/>
    <w:rsid w:val="002433A8"/>
    <w:rsid w:val="00244101"/>
    <w:rsid w:val="0024421C"/>
    <w:rsid w:val="002452AC"/>
    <w:rsid w:val="00245946"/>
    <w:rsid w:val="00245B6B"/>
    <w:rsid w:val="00246807"/>
    <w:rsid w:val="00247825"/>
    <w:rsid w:val="00251252"/>
    <w:rsid w:val="002524C4"/>
    <w:rsid w:val="002529B3"/>
    <w:rsid w:val="0025466F"/>
    <w:rsid w:val="002547CF"/>
    <w:rsid w:val="00255A29"/>
    <w:rsid w:val="00256784"/>
    <w:rsid w:val="0025690D"/>
    <w:rsid w:val="00256DF8"/>
    <w:rsid w:val="00260224"/>
    <w:rsid w:val="002610F3"/>
    <w:rsid w:val="00262ECA"/>
    <w:rsid w:val="002637A7"/>
    <w:rsid w:val="002638FB"/>
    <w:rsid w:val="00263DFB"/>
    <w:rsid w:val="002643A9"/>
    <w:rsid w:val="00264ADC"/>
    <w:rsid w:val="00264BD6"/>
    <w:rsid w:val="0026695F"/>
    <w:rsid w:val="00266972"/>
    <w:rsid w:val="0026702B"/>
    <w:rsid w:val="002677CD"/>
    <w:rsid w:val="00267FA8"/>
    <w:rsid w:val="00270001"/>
    <w:rsid w:val="002725A2"/>
    <w:rsid w:val="002738A4"/>
    <w:rsid w:val="00274C57"/>
    <w:rsid w:val="00274E36"/>
    <w:rsid w:val="002765ED"/>
    <w:rsid w:val="002768F7"/>
    <w:rsid w:val="00277234"/>
    <w:rsid w:val="00280C10"/>
    <w:rsid w:val="00280EDE"/>
    <w:rsid w:val="00281122"/>
    <w:rsid w:val="0028131B"/>
    <w:rsid w:val="002813A3"/>
    <w:rsid w:val="002814C1"/>
    <w:rsid w:val="00281BD0"/>
    <w:rsid w:val="002832B6"/>
    <w:rsid w:val="002833AA"/>
    <w:rsid w:val="0028356E"/>
    <w:rsid w:val="00283876"/>
    <w:rsid w:val="002847D8"/>
    <w:rsid w:val="00284C75"/>
    <w:rsid w:val="00284DD6"/>
    <w:rsid w:val="0028572C"/>
    <w:rsid w:val="00285BF2"/>
    <w:rsid w:val="00286288"/>
    <w:rsid w:val="00287999"/>
    <w:rsid w:val="00291A25"/>
    <w:rsid w:val="00291F93"/>
    <w:rsid w:val="00291FD5"/>
    <w:rsid w:val="002923D6"/>
    <w:rsid w:val="00293837"/>
    <w:rsid w:val="00293CCC"/>
    <w:rsid w:val="002942CB"/>
    <w:rsid w:val="00294B62"/>
    <w:rsid w:val="002955F1"/>
    <w:rsid w:val="002958D3"/>
    <w:rsid w:val="0029645D"/>
    <w:rsid w:val="002A1FDB"/>
    <w:rsid w:val="002A2102"/>
    <w:rsid w:val="002A23CC"/>
    <w:rsid w:val="002A2D58"/>
    <w:rsid w:val="002A41CE"/>
    <w:rsid w:val="002A44B1"/>
    <w:rsid w:val="002A4577"/>
    <w:rsid w:val="002A4E68"/>
    <w:rsid w:val="002A6E2C"/>
    <w:rsid w:val="002A7833"/>
    <w:rsid w:val="002B122B"/>
    <w:rsid w:val="002B1E15"/>
    <w:rsid w:val="002B4415"/>
    <w:rsid w:val="002B4DE8"/>
    <w:rsid w:val="002B5143"/>
    <w:rsid w:val="002B6187"/>
    <w:rsid w:val="002B65D4"/>
    <w:rsid w:val="002B7A73"/>
    <w:rsid w:val="002C19B9"/>
    <w:rsid w:val="002C26C7"/>
    <w:rsid w:val="002C30D4"/>
    <w:rsid w:val="002C3AB7"/>
    <w:rsid w:val="002C3BB5"/>
    <w:rsid w:val="002C534F"/>
    <w:rsid w:val="002C5AAF"/>
    <w:rsid w:val="002C6B21"/>
    <w:rsid w:val="002C723D"/>
    <w:rsid w:val="002D0332"/>
    <w:rsid w:val="002D05B0"/>
    <w:rsid w:val="002D2442"/>
    <w:rsid w:val="002D2C6E"/>
    <w:rsid w:val="002D30F4"/>
    <w:rsid w:val="002D33C9"/>
    <w:rsid w:val="002D403A"/>
    <w:rsid w:val="002D412F"/>
    <w:rsid w:val="002D49A8"/>
    <w:rsid w:val="002D73BC"/>
    <w:rsid w:val="002D7CDF"/>
    <w:rsid w:val="002E0334"/>
    <w:rsid w:val="002E06F5"/>
    <w:rsid w:val="002E0952"/>
    <w:rsid w:val="002E1FF7"/>
    <w:rsid w:val="002E2CDD"/>
    <w:rsid w:val="002E366F"/>
    <w:rsid w:val="002E412F"/>
    <w:rsid w:val="002E4DEA"/>
    <w:rsid w:val="002E4EE0"/>
    <w:rsid w:val="002E4F13"/>
    <w:rsid w:val="002E504D"/>
    <w:rsid w:val="002E5CBA"/>
    <w:rsid w:val="002E6282"/>
    <w:rsid w:val="002E6A60"/>
    <w:rsid w:val="002E6A7F"/>
    <w:rsid w:val="002E7807"/>
    <w:rsid w:val="002E7EAD"/>
    <w:rsid w:val="002F0252"/>
    <w:rsid w:val="002F071B"/>
    <w:rsid w:val="002F0B69"/>
    <w:rsid w:val="002F0EE9"/>
    <w:rsid w:val="002F2279"/>
    <w:rsid w:val="002F2DC3"/>
    <w:rsid w:val="002F3AB9"/>
    <w:rsid w:val="002F3ADC"/>
    <w:rsid w:val="002F4E86"/>
    <w:rsid w:val="002F503D"/>
    <w:rsid w:val="002F525C"/>
    <w:rsid w:val="002F5819"/>
    <w:rsid w:val="002F660D"/>
    <w:rsid w:val="002F66A6"/>
    <w:rsid w:val="002F6C02"/>
    <w:rsid w:val="0030215E"/>
    <w:rsid w:val="00302F40"/>
    <w:rsid w:val="003036AF"/>
    <w:rsid w:val="003044F1"/>
    <w:rsid w:val="00304988"/>
    <w:rsid w:val="00304DAA"/>
    <w:rsid w:val="00305589"/>
    <w:rsid w:val="003064E0"/>
    <w:rsid w:val="00306D31"/>
    <w:rsid w:val="00310F55"/>
    <w:rsid w:val="0031114F"/>
    <w:rsid w:val="00312D30"/>
    <w:rsid w:val="003138BD"/>
    <w:rsid w:val="00314A69"/>
    <w:rsid w:val="00315990"/>
    <w:rsid w:val="00316533"/>
    <w:rsid w:val="00316992"/>
    <w:rsid w:val="00316DB2"/>
    <w:rsid w:val="0032001B"/>
    <w:rsid w:val="0032107E"/>
    <w:rsid w:val="003223F3"/>
    <w:rsid w:val="00323074"/>
    <w:rsid w:val="00323F29"/>
    <w:rsid w:val="00324633"/>
    <w:rsid w:val="00324796"/>
    <w:rsid w:val="003247F7"/>
    <w:rsid w:val="003256DC"/>
    <w:rsid w:val="00327F83"/>
    <w:rsid w:val="00332AB9"/>
    <w:rsid w:val="003334A8"/>
    <w:rsid w:val="00333949"/>
    <w:rsid w:val="003343E6"/>
    <w:rsid w:val="0033483F"/>
    <w:rsid w:val="0033488A"/>
    <w:rsid w:val="003352D4"/>
    <w:rsid w:val="00335C8C"/>
    <w:rsid w:val="00336051"/>
    <w:rsid w:val="003361A3"/>
    <w:rsid w:val="0033683D"/>
    <w:rsid w:val="00337F99"/>
    <w:rsid w:val="00340220"/>
    <w:rsid w:val="00340546"/>
    <w:rsid w:val="003407AC"/>
    <w:rsid w:val="00341A73"/>
    <w:rsid w:val="003428F5"/>
    <w:rsid w:val="00342DC2"/>
    <w:rsid w:val="00343F70"/>
    <w:rsid w:val="00345095"/>
    <w:rsid w:val="0034535E"/>
    <w:rsid w:val="00345DC1"/>
    <w:rsid w:val="00346DC5"/>
    <w:rsid w:val="00350C4E"/>
    <w:rsid w:val="00350D0F"/>
    <w:rsid w:val="00350F32"/>
    <w:rsid w:val="00351A0D"/>
    <w:rsid w:val="003525F6"/>
    <w:rsid w:val="00352B5F"/>
    <w:rsid w:val="0035317E"/>
    <w:rsid w:val="00354533"/>
    <w:rsid w:val="003547DB"/>
    <w:rsid w:val="00355287"/>
    <w:rsid w:val="00355AE4"/>
    <w:rsid w:val="00355E34"/>
    <w:rsid w:val="00355F53"/>
    <w:rsid w:val="003561CD"/>
    <w:rsid w:val="003565E3"/>
    <w:rsid w:val="00356E17"/>
    <w:rsid w:val="00360664"/>
    <w:rsid w:val="00361E34"/>
    <w:rsid w:val="0036200F"/>
    <w:rsid w:val="0036260B"/>
    <w:rsid w:val="00363E8A"/>
    <w:rsid w:val="0036541C"/>
    <w:rsid w:val="00365D8A"/>
    <w:rsid w:val="00366564"/>
    <w:rsid w:val="0036694E"/>
    <w:rsid w:val="0036704A"/>
    <w:rsid w:val="00367AE3"/>
    <w:rsid w:val="00367CBD"/>
    <w:rsid w:val="00370E9E"/>
    <w:rsid w:val="003718FF"/>
    <w:rsid w:val="00372B06"/>
    <w:rsid w:val="00373893"/>
    <w:rsid w:val="0037440F"/>
    <w:rsid w:val="00374918"/>
    <w:rsid w:val="00374ABC"/>
    <w:rsid w:val="00374FE1"/>
    <w:rsid w:val="00375547"/>
    <w:rsid w:val="00375735"/>
    <w:rsid w:val="00375750"/>
    <w:rsid w:val="00375BAD"/>
    <w:rsid w:val="00375F41"/>
    <w:rsid w:val="0038010E"/>
    <w:rsid w:val="003801DB"/>
    <w:rsid w:val="00380C5E"/>
    <w:rsid w:val="003821B9"/>
    <w:rsid w:val="003824AC"/>
    <w:rsid w:val="00383306"/>
    <w:rsid w:val="003837D7"/>
    <w:rsid w:val="00383F95"/>
    <w:rsid w:val="00385AD0"/>
    <w:rsid w:val="003870F7"/>
    <w:rsid w:val="0038773D"/>
    <w:rsid w:val="0038784F"/>
    <w:rsid w:val="00387A52"/>
    <w:rsid w:val="00390089"/>
    <w:rsid w:val="00390E13"/>
    <w:rsid w:val="003914D0"/>
    <w:rsid w:val="00392FB6"/>
    <w:rsid w:val="00394BF3"/>
    <w:rsid w:val="00395F3A"/>
    <w:rsid w:val="003973DE"/>
    <w:rsid w:val="00397B14"/>
    <w:rsid w:val="003A087C"/>
    <w:rsid w:val="003A27F2"/>
    <w:rsid w:val="003A29D6"/>
    <w:rsid w:val="003A2D8C"/>
    <w:rsid w:val="003A3CFC"/>
    <w:rsid w:val="003A46E8"/>
    <w:rsid w:val="003A47A1"/>
    <w:rsid w:val="003A4A0D"/>
    <w:rsid w:val="003A4BAB"/>
    <w:rsid w:val="003A56ED"/>
    <w:rsid w:val="003A57A4"/>
    <w:rsid w:val="003A5F61"/>
    <w:rsid w:val="003A6367"/>
    <w:rsid w:val="003A640B"/>
    <w:rsid w:val="003A680C"/>
    <w:rsid w:val="003A72D5"/>
    <w:rsid w:val="003A7936"/>
    <w:rsid w:val="003B01D4"/>
    <w:rsid w:val="003B143B"/>
    <w:rsid w:val="003B1743"/>
    <w:rsid w:val="003B23D9"/>
    <w:rsid w:val="003B3172"/>
    <w:rsid w:val="003B3C74"/>
    <w:rsid w:val="003B478C"/>
    <w:rsid w:val="003B4FED"/>
    <w:rsid w:val="003B553F"/>
    <w:rsid w:val="003B6A94"/>
    <w:rsid w:val="003B7094"/>
    <w:rsid w:val="003B714E"/>
    <w:rsid w:val="003B732F"/>
    <w:rsid w:val="003B7E5D"/>
    <w:rsid w:val="003C0308"/>
    <w:rsid w:val="003C0583"/>
    <w:rsid w:val="003C0C5C"/>
    <w:rsid w:val="003C0FD9"/>
    <w:rsid w:val="003C17F9"/>
    <w:rsid w:val="003C1967"/>
    <w:rsid w:val="003C25B0"/>
    <w:rsid w:val="003C26B9"/>
    <w:rsid w:val="003C33E5"/>
    <w:rsid w:val="003C6B38"/>
    <w:rsid w:val="003C7D3B"/>
    <w:rsid w:val="003D112B"/>
    <w:rsid w:val="003D1CB5"/>
    <w:rsid w:val="003D2C18"/>
    <w:rsid w:val="003D496C"/>
    <w:rsid w:val="003D4D6E"/>
    <w:rsid w:val="003D4DF4"/>
    <w:rsid w:val="003D5B55"/>
    <w:rsid w:val="003D6D61"/>
    <w:rsid w:val="003D6DDB"/>
    <w:rsid w:val="003D7314"/>
    <w:rsid w:val="003E0CF5"/>
    <w:rsid w:val="003E16D9"/>
    <w:rsid w:val="003E20E2"/>
    <w:rsid w:val="003E2FA8"/>
    <w:rsid w:val="003E3EA9"/>
    <w:rsid w:val="003E4D6E"/>
    <w:rsid w:val="003E4E29"/>
    <w:rsid w:val="003E5964"/>
    <w:rsid w:val="003E5DC9"/>
    <w:rsid w:val="003E7CFB"/>
    <w:rsid w:val="003E7EF1"/>
    <w:rsid w:val="003F0A11"/>
    <w:rsid w:val="003F13D3"/>
    <w:rsid w:val="003F22AC"/>
    <w:rsid w:val="003F2C13"/>
    <w:rsid w:val="003F2D12"/>
    <w:rsid w:val="003F3239"/>
    <w:rsid w:val="003F36BC"/>
    <w:rsid w:val="003F3C41"/>
    <w:rsid w:val="003F3F6D"/>
    <w:rsid w:val="003F6260"/>
    <w:rsid w:val="003F6958"/>
    <w:rsid w:val="003F6B75"/>
    <w:rsid w:val="003F71C5"/>
    <w:rsid w:val="003F7EE9"/>
    <w:rsid w:val="00400359"/>
    <w:rsid w:val="004014B8"/>
    <w:rsid w:val="0040157A"/>
    <w:rsid w:val="00401B5E"/>
    <w:rsid w:val="00402774"/>
    <w:rsid w:val="0040300E"/>
    <w:rsid w:val="004039AA"/>
    <w:rsid w:val="004052D3"/>
    <w:rsid w:val="004059AF"/>
    <w:rsid w:val="004066C5"/>
    <w:rsid w:val="00406F8C"/>
    <w:rsid w:val="004079D4"/>
    <w:rsid w:val="00410E22"/>
    <w:rsid w:val="00413AA1"/>
    <w:rsid w:val="00414413"/>
    <w:rsid w:val="00414896"/>
    <w:rsid w:val="00416CC8"/>
    <w:rsid w:val="00417308"/>
    <w:rsid w:val="0041797E"/>
    <w:rsid w:val="00420481"/>
    <w:rsid w:val="00420602"/>
    <w:rsid w:val="00420780"/>
    <w:rsid w:val="00420D0E"/>
    <w:rsid w:val="00421A73"/>
    <w:rsid w:val="00423D3B"/>
    <w:rsid w:val="00424624"/>
    <w:rsid w:val="004250E4"/>
    <w:rsid w:val="004270C6"/>
    <w:rsid w:val="0042764A"/>
    <w:rsid w:val="0043077E"/>
    <w:rsid w:val="00430EB5"/>
    <w:rsid w:val="00431371"/>
    <w:rsid w:val="00432129"/>
    <w:rsid w:val="004322BB"/>
    <w:rsid w:val="0043342B"/>
    <w:rsid w:val="004343D1"/>
    <w:rsid w:val="00434BC3"/>
    <w:rsid w:val="00435591"/>
    <w:rsid w:val="00435BAA"/>
    <w:rsid w:val="00437C46"/>
    <w:rsid w:val="00437FED"/>
    <w:rsid w:val="0044142F"/>
    <w:rsid w:val="00441EBA"/>
    <w:rsid w:val="0044237F"/>
    <w:rsid w:val="004437E5"/>
    <w:rsid w:val="00444AE9"/>
    <w:rsid w:val="004458C0"/>
    <w:rsid w:val="004473D4"/>
    <w:rsid w:val="00450B7A"/>
    <w:rsid w:val="00451008"/>
    <w:rsid w:val="00451538"/>
    <w:rsid w:val="00453DB5"/>
    <w:rsid w:val="00454405"/>
    <w:rsid w:val="00454551"/>
    <w:rsid w:val="00456868"/>
    <w:rsid w:val="0045698D"/>
    <w:rsid w:val="00457539"/>
    <w:rsid w:val="00460BAE"/>
    <w:rsid w:val="00460D4A"/>
    <w:rsid w:val="004613B4"/>
    <w:rsid w:val="00461E67"/>
    <w:rsid w:val="004620BC"/>
    <w:rsid w:val="00463A39"/>
    <w:rsid w:val="0046427C"/>
    <w:rsid w:val="00464BD3"/>
    <w:rsid w:val="004652AA"/>
    <w:rsid w:val="00465694"/>
    <w:rsid w:val="00466DAD"/>
    <w:rsid w:val="00466DDD"/>
    <w:rsid w:val="0046760C"/>
    <w:rsid w:val="004703D5"/>
    <w:rsid w:val="004707F9"/>
    <w:rsid w:val="00470C99"/>
    <w:rsid w:val="00470E4E"/>
    <w:rsid w:val="00471A4A"/>
    <w:rsid w:val="00472928"/>
    <w:rsid w:val="004742DE"/>
    <w:rsid w:val="00474805"/>
    <w:rsid w:val="004748CF"/>
    <w:rsid w:val="00474945"/>
    <w:rsid w:val="00474A58"/>
    <w:rsid w:val="004757BC"/>
    <w:rsid w:val="004769FB"/>
    <w:rsid w:val="00477579"/>
    <w:rsid w:val="00480390"/>
    <w:rsid w:val="00481A80"/>
    <w:rsid w:val="00482A62"/>
    <w:rsid w:val="004850A8"/>
    <w:rsid w:val="00486C5A"/>
    <w:rsid w:val="0049010D"/>
    <w:rsid w:val="00490408"/>
    <w:rsid w:val="00490692"/>
    <w:rsid w:val="00490C8A"/>
    <w:rsid w:val="0049173D"/>
    <w:rsid w:val="00492C7D"/>
    <w:rsid w:val="0049358E"/>
    <w:rsid w:val="004936E6"/>
    <w:rsid w:val="0049383D"/>
    <w:rsid w:val="0049418B"/>
    <w:rsid w:val="00494753"/>
    <w:rsid w:val="00495A10"/>
    <w:rsid w:val="00495AE1"/>
    <w:rsid w:val="00495EBB"/>
    <w:rsid w:val="004A0293"/>
    <w:rsid w:val="004A12C7"/>
    <w:rsid w:val="004A18B7"/>
    <w:rsid w:val="004A18BE"/>
    <w:rsid w:val="004A40B2"/>
    <w:rsid w:val="004A4F1E"/>
    <w:rsid w:val="004A52B3"/>
    <w:rsid w:val="004A57A4"/>
    <w:rsid w:val="004A668F"/>
    <w:rsid w:val="004A691D"/>
    <w:rsid w:val="004A7055"/>
    <w:rsid w:val="004A7C04"/>
    <w:rsid w:val="004A7CFE"/>
    <w:rsid w:val="004B055A"/>
    <w:rsid w:val="004B070A"/>
    <w:rsid w:val="004B0805"/>
    <w:rsid w:val="004B1435"/>
    <w:rsid w:val="004B1535"/>
    <w:rsid w:val="004B217F"/>
    <w:rsid w:val="004B334B"/>
    <w:rsid w:val="004B35D6"/>
    <w:rsid w:val="004B3F88"/>
    <w:rsid w:val="004B4597"/>
    <w:rsid w:val="004B4627"/>
    <w:rsid w:val="004B4A5C"/>
    <w:rsid w:val="004B4BBB"/>
    <w:rsid w:val="004B5BAA"/>
    <w:rsid w:val="004B5BF7"/>
    <w:rsid w:val="004B600D"/>
    <w:rsid w:val="004B6618"/>
    <w:rsid w:val="004C0705"/>
    <w:rsid w:val="004C0F6E"/>
    <w:rsid w:val="004C191C"/>
    <w:rsid w:val="004C20B4"/>
    <w:rsid w:val="004C24D7"/>
    <w:rsid w:val="004C30D2"/>
    <w:rsid w:val="004C3ECC"/>
    <w:rsid w:val="004C412B"/>
    <w:rsid w:val="004C41E8"/>
    <w:rsid w:val="004C42DC"/>
    <w:rsid w:val="004C48F2"/>
    <w:rsid w:val="004C5D64"/>
    <w:rsid w:val="004C68DA"/>
    <w:rsid w:val="004D04CA"/>
    <w:rsid w:val="004D2B42"/>
    <w:rsid w:val="004D2E49"/>
    <w:rsid w:val="004D33A8"/>
    <w:rsid w:val="004D354E"/>
    <w:rsid w:val="004D388B"/>
    <w:rsid w:val="004D5094"/>
    <w:rsid w:val="004D551C"/>
    <w:rsid w:val="004D674D"/>
    <w:rsid w:val="004D6A01"/>
    <w:rsid w:val="004E0521"/>
    <w:rsid w:val="004E0D5A"/>
    <w:rsid w:val="004E1D1B"/>
    <w:rsid w:val="004E2203"/>
    <w:rsid w:val="004E226C"/>
    <w:rsid w:val="004E2AB2"/>
    <w:rsid w:val="004E5A87"/>
    <w:rsid w:val="004E75F5"/>
    <w:rsid w:val="004E774B"/>
    <w:rsid w:val="004E77B3"/>
    <w:rsid w:val="004F0CBD"/>
    <w:rsid w:val="004F1225"/>
    <w:rsid w:val="004F1307"/>
    <w:rsid w:val="004F1408"/>
    <w:rsid w:val="004F170D"/>
    <w:rsid w:val="004F1BC4"/>
    <w:rsid w:val="004F1D52"/>
    <w:rsid w:val="004F2A3D"/>
    <w:rsid w:val="004F2C7D"/>
    <w:rsid w:val="004F3CE0"/>
    <w:rsid w:val="004F41DF"/>
    <w:rsid w:val="004F4B91"/>
    <w:rsid w:val="004F60DE"/>
    <w:rsid w:val="004F6CE3"/>
    <w:rsid w:val="004F7142"/>
    <w:rsid w:val="004F7841"/>
    <w:rsid w:val="004F7855"/>
    <w:rsid w:val="004F7C6E"/>
    <w:rsid w:val="00500970"/>
    <w:rsid w:val="005010CA"/>
    <w:rsid w:val="00501684"/>
    <w:rsid w:val="00501AD2"/>
    <w:rsid w:val="00501EFB"/>
    <w:rsid w:val="00503647"/>
    <w:rsid w:val="005038AD"/>
    <w:rsid w:val="00503CF9"/>
    <w:rsid w:val="0050419C"/>
    <w:rsid w:val="00504866"/>
    <w:rsid w:val="00505566"/>
    <w:rsid w:val="00505610"/>
    <w:rsid w:val="00507D14"/>
    <w:rsid w:val="00511293"/>
    <w:rsid w:val="005124E1"/>
    <w:rsid w:val="005132EC"/>
    <w:rsid w:val="00513C8D"/>
    <w:rsid w:val="00513F2F"/>
    <w:rsid w:val="0051471B"/>
    <w:rsid w:val="005154C1"/>
    <w:rsid w:val="00515681"/>
    <w:rsid w:val="00515EEA"/>
    <w:rsid w:val="00516738"/>
    <w:rsid w:val="00516D49"/>
    <w:rsid w:val="00517757"/>
    <w:rsid w:val="00517937"/>
    <w:rsid w:val="00520D2C"/>
    <w:rsid w:val="00520E3B"/>
    <w:rsid w:val="00521360"/>
    <w:rsid w:val="005216A9"/>
    <w:rsid w:val="0052316A"/>
    <w:rsid w:val="00523680"/>
    <w:rsid w:val="00523721"/>
    <w:rsid w:val="00524E64"/>
    <w:rsid w:val="005261E8"/>
    <w:rsid w:val="00526802"/>
    <w:rsid w:val="00526D1C"/>
    <w:rsid w:val="00527BD8"/>
    <w:rsid w:val="00527C90"/>
    <w:rsid w:val="00530519"/>
    <w:rsid w:val="00530B01"/>
    <w:rsid w:val="00531B9D"/>
    <w:rsid w:val="00531CD5"/>
    <w:rsid w:val="00532526"/>
    <w:rsid w:val="00533435"/>
    <w:rsid w:val="00535192"/>
    <w:rsid w:val="00536438"/>
    <w:rsid w:val="00536AD6"/>
    <w:rsid w:val="0053702E"/>
    <w:rsid w:val="005372F0"/>
    <w:rsid w:val="005376E8"/>
    <w:rsid w:val="0054022B"/>
    <w:rsid w:val="0054069F"/>
    <w:rsid w:val="00540F6E"/>
    <w:rsid w:val="0054108E"/>
    <w:rsid w:val="00541174"/>
    <w:rsid w:val="00541380"/>
    <w:rsid w:val="00541C01"/>
    <w:rsid w:val="00542089"/>
    <w:rsid w:val="00543506"/>
    <w:rsid w:val="00543AE6"/>
    <w:rsid w:val="00543EF1"/>
    <w:rsid w:val="00544457"/>
    <w:rsid w:val="00544C63"/>
    <w:rsid w:val="00545725"/>
    <w:rsid w:val="00546740"/>
    <w:rsid w:val="005468DE"/>
    <w:rsid w:val="00546B95"/>
    <w:rsid w:val="00547AE8"/>
    <w:rsid w:val="005504AF"/>
    <w:rsid w:val="00550E0C"/>
    <w:rsid w:val="00550E43"/>
    <w:rsid w:val="00551BD5"/>
    <w:rsid w:val="00551F22"/>
    <w:rsid w:val="00552876"/>
    <w:rsid w:val="005528DF"/>
    <w:rsid w:val="00553015"/>
    <w:rsid w:val="0055494B"/>
    <w:rsid w:val="005562D1"/>
    <w:rsid w:val="00556373"/>
    <w:rsid w:val="005564C5"/>
    <w:rsid w:val="00556A88"/>
    <w:rsid w:val="00556C47"/>
    <w:rsid w:val="005572AC"/>
    <w:rsid w:val="005600FF"/>
    <w:rsid w:val="005630A8"/>
    <w:rsid w:val="00564BE5"/>
    <w:rsid w:val="00564E92"/>
    <w:rsid w:val="0056622F"/>
    <w:rsid w:val="0057056B"/>
    <w:rsid w:val="00571C9D"/>
    <w:rsid w:val="005731DA"/>
    <w:rsid w:val="00573B9D"/>
    <w:rsid w:val="00574C36"/>
    <w:rsid w:val="00575346"/>
    <w:rsid w:val="00575824"/>
    <w:rsid w:val="00575CFB"/>
    <w:rsid w:val="00576481"/>
    <w:rsid w:val="00576A59"/>
    <w:rsid w:val="00576ED4"/>
    <w:rsid w:val="00577188"/>
    <w:rsid w:val="00580BEE"/>
    <w:rsid w:val="005811B4"/>
    <w:rsid w:val="00581874"/>
    <w:rsid w:val="005826AE"/>
    <w:rsid w:val="00582782"/>
    <w:rsid w:val="00582C11"/>
    <w:rsid w:val="00583352"/>
    <w:rsid w:val="00583DDF"/>
    <w:rsid w:val="00584230"/>
    <w:rsid w:val="0058477D"/>
    <w:rsid w:val="00584C6B"/>
    <w:rsid w:val="0059036A"/>
    <w:rsid w:val="00591219"/>
    <w:rsid w:val="00591231"/>
    <w:rsid w:val="0059163B"/>
    <w:rsid w:val="00591C84"/>
    <w:rsid w:val="005925FA"/>
    <w:rsid w:val="00592760"/>
    <w:rsid w:val="00592DC6"/>
    <w:rsid w:val="00593CE5"/>
    <w:rsid w:val="00594ED2"/>
    <w:rsid w:val="00595DAD"/>
    <w:rsid w:val="00596346"/>
    <w:rsid w:val="00596E17"/>
    <w:rsid w:val="00596E55"/>
    <w:rsid w:val="005A1393"/>
    <w:rsid w:val="005A1FDE"/>
    <w:rsid w:val="005A24F5"/>
    <w:rsid w:val="005A2F46"/>
    <w:rsid w:val="005A3C7B"/>
    <w:rsid w:val="005A47B5"/>
    <w:rsid w:val="005A5394"/>
    <w:rsid w:val="005A662A"/>
    <w:rsid w:val="005A6909"/>
    <w:rsid w:val="005B01BB"/>
    <w:rsid w:val="005B1779"/>
    <w:rsid w:val="005B1EBB"/>
    <w:rsid w:val="005B24A5"/>
    <w:rsid w:val="005B266D"/>
    <w:rsid w:val="005B2822"/>
    <w:rsid w:val="005B2E0C"/>
    <w:rsid w:val="005B427A"/>
    <w:rsid w:val="005B53D6"/>
    <w:rsid w:val="005B55F9"/>
    <w:rsid w:val="005B5984"/>
    <w:rsid w:val="005B5CD9"/>
    <w:rsid w:val="005B645C"/>
    <w:rsid w:val="005B6A01"/>
    <w:rsid w:val="005B740C"/>
    <w:rsid w:val="005B7991"/>
    <w:rsid w:val="005C1D62"/>
    <w:rsid w:val="005C2156"/>
    <w:rsid w:val="005C2EB2"/>
    <w:rsid w:val="005C3AAC"/>
    <w:rsid w:val="005C3CE0"/>
    <w:rsid w:val="005C42FC"/>
    <w:rsid w:val="005C55E3"/>
    <w:rsid w:val="005C68A6"/>
    <w:rsid w:val="005C735C"/>
    <w:rsid w:val="005D0131"/>
    <w:rsid w:val="005D0541"/>
    <w:rsid w:val="005D0A1E"/>
    <w:rsid w:val="005D27F4"/>
    <w:rsid w:val="005D2C25"/>
    <w:rsid w:val="005D2FB2"/>
    <w:rsid w:val="005D35FC"/>
    <w:rsid w:val="005D401A"/>
    <w:rsid w:val="005D5052"/>
    <w:rsid w:val="005D5F49"/>
    <w:rsid w:val="005D75A9"/>
    <w:rsid w:val="005D7659"/>
    <w:rsid w:val="005D7CD5"/>
    <w:rsid w:val="005E0AE3"/>
    <w:rsid w:val="005E2B75"/>
    <w:rsid w:val="005E3B1C"/>
    <w:rsid w:val="005E56F0"/>
    <w:rsid w:val="005E641F"/>
    <w:rsid w:val="005E73ED"/>
    <w:rsid w:val="005E7572"/>
    <w:rsid w:val="005F03DF"/>
    <w:rsid w:val="005F08A1"/>
    <w:rsid w:val="005F22E9"/>
    <w:rsid w:val="005F49B8"/>
    <w:rsid w:val="005F55CD"/>
    <w:rsid w:val="005F60F1"/>
    <w:rsid w:val="005F6C88"/>
    <w:rsid w:val="005F703D"/>
    <w:rsid w:val="005F7582"/>
    <w:rsid w:val="005F7A39"/>
    <w:rsid w:val="005F7D74"/>
    <w:rsid w:val="0060016E"/>
    <w:rsid w:val="0060044D"/>
    <w:rsid w:val="0060090D"/>
    <w:rsid w:val="0060133D"/>
    <w:rsid w:val="006013EF"/>
    <w:rsid w:val="00601C6E"/>
    <w:rsid w:val="006048ED"/>
    <w:rsid w:val="00606851"/>
    <w:rsid w:val="006074EA"/>
    <w:rsid w:val="006108B2"/>
    <w:rsid w:val="00612917"/>
    <w:rsid w:val="00612C4E"/>
    <w:rsid w:val="00613772"/>
    <w:rsid w:val="006138F9"/>
    <w:rsid w:val="006149A3"/>
    <w:rsid w:val="00614B25"/>
    <w:rsid w:val="0061581D"/>
    <w:rsid w:val="00615D63"/>
    <w:rsid w:val="00616D83"/>
    <w:rsid w:val="00616EA6"/>
    <w:rsid w:val="006202A3"/>
    <w:rsid w:val="00620D77"/>
    <w:rsid w:val="006214C1"/>
    <w:rsid w:val="00622799"/>
    <w:rsid w:val="0062293A"/>
    <w:rsid w:val="00622DB8"/>
    <w:rsid w:val="00622FC4"/>
    <w:rsid w:val="006233DC"/>
    <w:rsid w:val="006240DC"/>
    <w:rsid w:val="006241C9"/>
    <w:rsid w:val="0062428F"/>
    <w:rsid w:val="00625570"/>
    <w:rsid w:val="00625692"/>
    <w:rsid w:val="00626944"/>
    <w:rsid w:val="00627776"/>
    <w:rsid w:val="00627DA4"/>
    <w:rsid w:val="00630156"/>
    <w:rsid w:val="0063194A"/>
    <w:rsid w:val="00631F6E"/>
    <w:rsid w:val="00632490"/>
    <w:rsid w:val="00632D65"/>
    <w:rsid w:val="00632ECE"/>
    <w:rsid w:val="006335E8"/>
    <w:rsid w:val="0063364B"/>
    <w:rsid w:val="00634A17"/>
    <w:rsid w:val="006353E9"/>
    <w:rsid w:val="006374F7"/>
    <w:rsid w:val="00637B42"/>
    <w:rsid w:val="006403E9"/>
    <w:rsid w:val="00640745"/>
    <w:rsid w:val="00641054"/>
    <w:rsid w:val="00641402"/>
    <w:rsid w:val="00641886"/>
    <w:rsid w:val="0064313A"/>
    <w:rsid w:val="00644178"/>
    <w:rsid w:val="0064464D"/>
    <w:rsid w:val="00645697"/>
    <w:rsid w:val="00646E66"/>
    <w:rsid w:val="00647920"/>
    <w:rsid w:val="00647DDA"/>
    <w:rsid w:val="006507A7"/>
    <w:rsid w:val="00650A61"/>
    <w:rsid w:val="006512FC"/>
    <w:rsid w:val="0065188E"/>
    <w:rsid w:val="00651ED0"/>
    <w:rsid w:val="006520EC"/>
    <w:rsid w:val="0065220C"/>
    <w:rsid w:val="00652958"/>
    <w:rsid w:val="00655695"/>
    <w:rsid w:val="00655DEC"/>
    <w:rsid w:val="00656CB6"/>
    <w:rsid w:val="00656EF4"/>
    <w:rsid w:val="0066049C"/>
    <w:rsid w:val="0066086B"/>
    <w:rsid w:val="00660FCA"/>
    <w:rsid w:val="00661165"/>
    <w:rsid w:val="00661D4D"/>
    <w:rsid w:val="0066264A"/>
    <w:rsid w:val="00663050"/>
    <w:rsid w:val="00663FE7"/>
    <w:rsid w:val="0066414D"/>
    <w:rsid w:val="00664944"/>
    <w:rsid w:val="0066601B"/>
    <w:rsid w:val="00666C86"/>
    <w:rsid w:val="006679F5"/>
    <w:rsid w:val="00667A51"/>
    <w:rsid w:val="00670684"/>
    <w:rsid w:val="00670DAF"/>
    <w:rsid w:val="00671822"/>
    <w:rsid w:val="0067197C"/>
    <w:rsid w:val="00671C49"/>
    <w:rsid w:val="0067222E"/>
    <w:rsid w:val="0067269F"/>
    <w:rsid w:val="00673E6A"/>
    <w:rsid w:val="0067596E"/>
    <w:rsid w:val="00675CEC"/>
    <w:rsid w:val="00675E2F"/>
    <w:rsid w:val="00676B42"/>
    <w:rsid w:val="00676DAF"/>
    <w:rsid w:val="0067731B"/>
    <w:rsid w:val="00677CA9"/>
    <w:rsid w:val="00680B9A"/>
    <w:rsid w:val="00680BD1"/>
    <w:rsid w:val="00681640"/>
    <w:rsid w:val="006817F0"/>
    <w:rsid w:val="0068180C"/>
    <w:rsid w:val="006828F3"/>
    <w:rsid w:val="006829FD"/>
    <w:rsid w:val="006845F1"/>
    <w:rsid w:val="006866A3"/>
    <w:rsid w:val="00686CA4"/>
    <w:rsid w:val="00690542"/>
    <w:rsid w:val="00691D7D"/>
    <w:rsid w:val="00692C6A"/>
    <w:rsid w:val="00693A1D"/>
    <w:rsid w:val="006945B9"/>
    <w:rsid w:val="00695277"/>
    <w:rsid w:val="00695B52"/>
    <w:rsid w:val="00695D45"/>
    <w:rsid w:val="00695FC7"/>
    <w:rsid w:val="00697388"/>
    <w:rsid w:val="006973B6"/>
    <w:rsid w:val="006A0424"/>
    <w:rsid w:val="006A196B"/>
    <w:rsid w:val="006A2B5E"/>
    <w:rsid w:val="006A3BCE"/>
    <w:rsid w:val="006A5C28"/>
    <w:rsid w:val="006A6DC3"/>
    <w:rsid w:val="006A7114"/>
    <w:rsid w:val="006B03F7"/>
    <w:rsid w:val="006B08D6"/>
    <w:rsid w:val="006B0E09"/>
    <w:rsid w:val="006B0E2F"/>
    <w:rsid w:val="006B1177"/>
    <w:rsid w:val="006B318F"/>
    <w:rsid w:val="006B51C0"/>
    <w:rsid w:val="006B5BD9"/>
    <w:rsid w:val="006B746B"/>
    <w:rsid w:val="006B747B"/>
    <w:rsid w:val="006B77A7"/>
    <w:rsid w:val="006B7BD2"/>
    <w:rsid w:val="006C021D"/>
    <w:rsid w:val="006C02E3"/>
    <w:rsid w:val="006C0CDA"/>
    <w:rsid w:val="006C16D8"/>
    <w:rsid w:val="006C1DA5"/>
    <w:rsid w:val="006C23EE"/>
    <w:rsid w:val="006C333B"/>
    <w:rsid w:val="006C3624"/>
    <w:rsid w:val="006C376F"/>
    <w:rsid w:val="006C4B18"/>
    <w:rsid w:val="006C4D4E"/>
    <w:rsid w:val="006C4FBF"/>
    <w:rsid w:val="006C6A72"/>
    <w:rsid w:val="006C7A0B"/>
    <w:rsid w:val="006D079D"/>
    <w:rsid w:val="006D2EF3"/>
    <w:rsid w:val="006D3AE4"/>
    <w:rsid w:val="006D4058"/>
    <w:rsid w:val="006D4622"/>
    <w:rsid w:val="006D58B1"/>
    <w:rsid w:val="006D79F4"/>
    <w:rsid w:val="006D7D30"/>
    <w:rsid w:val="006E03D2"/>
    <w:rsid w:val="006E06F8"/>
    <w:rsid w:val="006E16C6"/>
    <w:rsid w:val="006E1BBE"/>
    <w:rsid w:val="006E3125"/>
    <w:rsid w:val="006E33E4"/>
    <w:rsid w:val="006E489D"/>
    <w:rsid w:val="006E6C13"/>
    <w:rsid w:val="006E6C48"/>
    <w:rsid w:val="006E6F8C"/>
    <w:rsid w:val="006F01F4"/>
    <w:rsid w:val="006F1B9B"/>
    <w:rsid w:val="006F1C5D"/>
    <w:rsid w:val="006F2EDE"/>
    <w:rsid w:val="006F3FFF"/>
    <w:rsid w:val="006F5461"/>
    <w:rsid w:val="006F55C7"/>
    <w:rsid w:val="006F642A"/>
    <w:rsid w:val="006F68A3"/>
    <w:rsid w:val="006F70A4"/>
    <w:rsid w:val="006F7DC1"/>
    <w:rsid w:val="007000A3"/>
    <w:rsid w:val="007002AE"/>
    <w:rsid w:val="0070155E"/>
    <w:rsid w:val="00701666"/>
    <w:rsid w:val="00701710"/>
    <w:rsid w:val="0070184F"/>
    <w:rsid w:val="00701850"/>
    <w:rsid w:val="007018E6"/>
    <w:rsid w:val="00701AEE"/>
    <w:rsid w:val="00701BC5"/>
    <w:rsid w:val="00702422"/>
    <w:rsid w:val="00703638"/>
    <w:rsid w:val="00704099"/>
    <w:rsid w:val="007042E1"/>
    <w:rsid w:val="00704F43"/>
    <w:rsid w:val="007107C7"/>
    <w:rsid w:val="00710D4C"/>
    <w:rsid w:val="00712AFD"/>
    <w:rsid w:val="00713064"/>
    <w:rsid w:val="0071465A"/>
    <w:rsid w:val="00714EB1"/>
    <w:rsid w:val="0071529B"/>
    <w:rsid w:val="00715C86"/>
    <w:rsid w:val="00715EBF"/>
    <w:rsid w:val="00716C61"/>
    <w:rsid w:val="00717B34"/>
    <w:rsid w:val="00720472"/>
    <w:rsid w:val="00720581"/>
    <w:rsid w:val="00720B4D"/>
    <w:rsid w:val="007251FD"/>
    <w:rsid w:val="007303FD"/>
    <w:rsid w:val="007308EB"/>
    <w:rsid w:val="00730B98"/>
    <w:rsid w:val="00733FA1"/>
    <w:rsid w:val="007342B6"/>
    <w:rsid w:val="00735160"/>
    <w:rsid w:val="007364F7"/>
    <w:rsid w:val="00740689"/>
    <w:rsid w:val="0074097B"/>
    <w:rsid w:val="00743323"/>
    <w:rsid w:val="00745C59"/>
    <w:rsid w:val="00745D7E"/>
    <w:rsid w:val="007467B9"/>
    <w:rsid w:val="00746F39"/>
    <w:rsid w:val="007477D1"/>
    <w:rsid w:val="00747EB1"/>
    <w:rsid w:val="00751818"/>
    <w:rsid w:val="0075224A"/>
    <w:rsid w:val="00752DA5"/>
    <w:rsid w:val="00752F8C"/>
    <w:rsid w:val="007548F9"/>
    <w:rsid w:val="00754A4A"/>
    <w:rsid w:val="007553E9"/>
    <w:rsid w:val="007558DB"/>
    <w:rsid w:val="00756311"/>
    <w:rsid w:val="007569DE"/>
    <w:rsid w:val="00757359"/>
    <w:rsid w:val="00757661"/>
    <w:rsid w:val="00757B64"/>
    <w:rsid w:val="00757C93"/>
    <w:rsid w:val="00763422"/>
    <w:rsid w:val="007642D5"/>
    <w:rsid w:val="00764ABA"/>
    <w:rsid w:val="00764BA0"/>
    <w:rsid w:val="00764E82"/>
    <w:rsid w:val="00765CF9"/>
    <w:rsid w:val="00765E77"/>
    <w:rsid w:val="00766052"/>
    <w:rsid w:val="00767250"/>
    <w:rsid w:val="0076767C"/>
    <w:rsid w:val="007679A8"/>
    <w:rsid w:val="00770096"/>
    <w:rsid w:val="0077074C"/>
    <w:rsid w:val="00770981"/>
    <w:rsid w:val="00770DFC"/>
    <w:rsid w:val="00770F9B"/>
    <w:rsid w:val="00771589"/>
    <w:rsid w:val="007722A3"/>
    <w:rsid w:val="0077363E"/>
    <w:rsid w:val="00773AEB"/>
    <w:rsid w:val="00776026"/>
    <w:rsid w:val="00776B8F"/>
    <w:rsid w:val="0077730C"/>
    <w:rsid w:val="007807C3"/>
    <w:rsid w:val="00780AFB"/>
    <w:rsid w:val="00780EBA"/>
    <w:rsid w:val="00782992"/>
    <w:rsid w:val="00782AE8"/>
    <w:rsid w:val="00783184"/>
    <w:rsid w:val="00783189"/>
    <w:rsid w:val="007837B0"/>
    <w:rsid w:val="007848D2"/>
    <w:rsid w:val="00785F6B"/>
    <w:rsid w:val="0078793E"/>
    <w:rsid w:val="00787B01"/>
    <w:rsid w:val="00790540"/>
    <w:rsid w:val="00791893"/>
    <w:rsid w:val="00791DF8"/>
    <w:rsid w:val="0079247A"/>
    <w:rsid w:val="00793F22"/>
    <w:rsid w:val="007943EB"/>
    <w:rsid w:val="00794F70"/>
    <w:rsid w:val="0079601E"/>
    <w:rsid w:val="0079713D"/>
    <w:rsid w:val="00797584"/>
    <w:rsid w:val="007A05DE"/>
    <w:rsid w:val="007A0990"/>
    <w:rsid w:val="007A0DA8"/>
    <w:rsid w:val="007A110F"/>
    <w:rsid w:val="007A1112"/>
    <w:rsid w:val="007A1800"/>
    <w:rsid w:val="007A2C80"/>
    <w:rsid w:val="007A4AE9"/>
    <w:rsid w:val="007A4B51"/>
    <w:rsid w:val="007A4BAC"/>
    <w:rsid w:val="007A53BF"/>
    <w:rsid w:val="007A5BB2"/>
    <w:rsid w:val="007A6403"/>
    <w:rsid w:val="007A65F8"/>
    <w:rsid w:val="007B080D"/>
    <w:rsid w:val="007B202F"/>
    <w:rsid w:val="007B2164"/>
    <w:rsid w:val="007B2254"/>
    <w:rsid w:val="007B2E79"/>
    <w:rsid w:val="007B310D"/>
    <w:rsid w:val="007B3127"/>
    <w:rsid w:val="007B3BB4"/>
    <w:rsid w:val="007B3C64"/>
    <w:rsid w:val="007B4481"/>
    <w:rsid w:val="007B4C27"/>
    <w:rsid w:val="007B4E49"/>
    <w:rsid w:val="007B593F"/>
    <w:rsid w:val="007B5BBA"/>
    <w:rsid w:val="007B5CC3"/>
    <w:rsid w:val="007B7E7B"/>
    <w:rsid w:val="007C03B3"/>
    <w:rsid w:val="007C0A52"/>
    <w:rsid w:val="007C0B42"/>
    <w:rsid w:val="007C0CEE"/>
    <w:rsid w:val="007C110E"/>
    <w:rsid w:val="007C12CD"/>
    <w:rsid w:val="007C16A5"/>
    <w:rsid w:val="007C22D2"/>
    <w:rsid w:val="007C280A"/>
    <w:rsid w:val="007C280D"/>
    <w:rsid w:val="007C2EF8"/>
    <w:rsid w:val="007C3883"/>
    <w:rsid w:val="007C3960"/>
    <w:rsid w:val="007C3BAA"/>
    <w:rsid w:val="007C3D3E"/>
    <w:rsid w:val="007C4792"/>
    <w:rsid w:val="007C4C2F"/>
    <w:rsid w:val="007C5843"/>
    <w:rsid w:val="007C64FF"/>
    <w:rsid w:val="007C65F7"/>
    <w:rsid w:val="007C7617"/>
    <w:rsid w:val="007C78A2"/>
    <w:rsid w:val="007D0C38"/>
    <w:rsid w:val="007D405F"/>
    <w:rsid w:val="007D439B"/>
    <w:rsid w:val="007D4FC5"/>
    <w:rsid w:val="007D50B7"/>
    <w:rsid w:val="007D5C5B"/>
    <w:rsid w:val="007D7652"/>
    <w:rsid w:val="007E2007"/>
    <w:rsid w:val="007E27D3"/>
    <w:rsid w:val="007E35B4"/>
    <w:rsid w:val="007E4EDD"/>
    <w:rsid w:val="007E58E9"/>
    <w:rsid w:val="007E5C56"/>
    <w:rsid w:val="007E6C2F"/>
    <w:rsid w:val="007F06D2"/>
    <w:rsid w:val="007F165D"/>
    <w:rsid w:val="007F1BD0"/>
    <w:rsid w:val="007F2369"/>
    <w:rsid w:val="007F2571"/>
    <w:rsid w:val="007F2A46"/>
    <w:rsid w:val="007F438D"/>
    <w:rsid w:val="007F440C"/>
    <w:rsid w:val="007F5380"/>
    <w:rsid w:val="007F53F4"/>
    <w:rsid w:val="007F73B6"/>
    <w:rsid w:val="007F7D79"/>
    <w:rsid w:val="00801529"/>
    <w:rsid w:val="0080162E"/>
    <w:rsid w:val="008021E3"/>
    <w:rsid w:val="00803A21"/>
    <w:rsid w:val="00803F01"/>
    <w:rsid w:val="008040E2"/>
    <w:rsid w:val="00804243"/>
    <w:rsid w:val="008044C0"/>
    <w:rsid w:val="00810B29"/>
    <w:rsid w:val="008113F7"/>
    <w:rsid w:val="0081169C"/>
    <w:rsid w:val="00813779"/>
    <w:rsid w:val="0081389A"/>
    <w:rsid w:val="00813D4A"/>
    <w:rsid w:val="008148BD"/>
    <w:rsid w:val="00815196"/>
    <w:rsid w:val="00815A98"/>
    <w:rsid w:val="00815B76"/>
    <w:rsid w:val="008162C2"/>
    <w:rsid w:val="00816B53"/>
    <w:rsid w:val="00816F39"/>
    <w:rsid w:val="00817297"/>
    <w:rsid w:val="00820170"/>
    <w:rsid w:val="008224FC"/>
    <w:rsid w:val="00823726"/>
    <w:rsid w:val="00824836"/>
    <w:rsid w:val="0082538B"/>
    <w:rsid w:val="00825D62"/>
    <w:rsid w:val="0082681B"/>
    <w:rsid w:val="00827111"/>
    <w:rsid w:val="00827112"/>
    <w:rsid w:val="0082781E"/>
    <w:rsid w:val="00827CFE"/>
    <w:rsid w:val="00827D49"/>
    <w:rsid w:val="00830702"/>
    <w:rsid w:val="008312FB"/>
    <w:rsid w:val="00835392"/>
    <w:rsid w:val="00835C98"/>
    <w:rsid w:val="00835EBC"/>
    <w:rsid w:val="008360D9"/>
    <w:rsid w:val="00836549"/>
    <w:rsid w:val="00836AAE"/>
    <w:rsid w:val="00836DF5"/>
    <w:rsid w:val="008373FF"/>
    <w:rsid w:val="00837D53"/>
    <w:rsid w:val="00837EF0"/>
    <w:rsid w:val="00840C33"/>
    <w:rsid w:val="00840C91"/>
    <w:rsid w:val="008450D4"/>
    <w:rsid w:val="008452A8"/>
    <w:rsid w:val="00845464"/>
    <w:rsid w:val="00846A92"/>
    <w:rsid w:val="00847536"/>
    <w:rsid w:val="00847C9A"/>
    <w:rsid w:val="00850017"/>
    <w:rsid w:val="00850804"/>
    <w:rsid w:val="00851897"/>
    <w:rsid w:val="00851D80"/>
    <w:rsid w:val="0085356A"/>
    <w:rsid w:val="0085485E"/>
    <w:rsid w:val="008554A1"/>
    <w:rsid w:val="00855A56"/>
    <w:rsid w:val="00856214"/>
    <w:rsid w:val="0085645D"/>
    <w:rsid w:val="0086021B"/>
    <w:rsid w:val="00860821"/>
    <w:rsid w:val="00862960"/>
    <w:rsid w:val="00863702"/>
    <w:rsid w:val="008639C3"/>
    <w:rsid w:val="00863E12"/>
    <w:rsid w:val="00863E24"/>
    <w:rsid w:val="008643E6"/>
    <w:rsid w:val="00865D12"/>
    <w:rsid w:val="008664DE"/>
    <w:rsid w:val="00866F05"/>
    <w:rsid w:val="00867B60"/>
    <w:rsid w:val="00872D12"/>
    <w:rsid w:val="008739ED"/>
    <w:rsid w:val="00873FE3"/>
    <w:rsid w:val="008740BC"/>
    <w:rsid w:val="00875CFC"/>
    <w:rsid w:val="00876AE7"/>
    <w:rsid w:val="00876C30"/>
    <w:rsid w:val="00877D42"/>
    <w:rsid w:val="00880431"/>
    <w:rsid w:val="008816FC"/>
    <w:rsid w:val="00881C0D"/>
    <w:rsid w:val="0088246F"/>
    <w:rsid w:val="00883042"/>
    <w:rsid w:val="00883329"/>
    <w:rsid w:val="008836F0"/>
    <w:rsid w:val="00883832"/>
    <w:rsid w:val="008839B4"/>
    <w:rsid w:val="00883C9B"/>
    <w:rsid w:val="008846F9"/>
    <w:rsid w:val="00886F1C"/>
    <w:rsid w:val="0088731C"/>
    <w:rsid w:val="00887AF3"/>
    <w:rsid w:val="008910AC"/>
    <w:rsid w:val="008915EA"/>
    <w:rsid w:val="008926E3"/>
    <w:rsid w:val="0089458E"/>
    <w:rsid w:val="00894B38"/>
    <w:rsid w:val="00894BC0"/>
    <w:rsid w:val="0089538F"/>
    <w:rsid w:val="0089553E"/>
    <w:rsid w:val="00895605"/>
    <w:rsid w:val="008962DC"/>
    <w:rsid w:val="008964A9"/>
    <w:rsid w:val="0089653D"/>
    <w:rsid w:val="0089665D"/>
    <w:rsid w:val="0089674E"/>
    <w:rsid w:val="008977E2"/>
    <w:rsid w:val="008A0363"/>
    <w:rsid w:val="008A0E6B"/>
    <w:rsid w:val="008A140A"/>
    <w:rsid w:val="008A2DC0"/>
    <w:rsid w:val="008A367D"/>
    <w:rsid w:val="008A41A7"/>
    <w:rsid w:val="008A518A"/>
    <w:rsid w:val="008A5333"/>
    <w:rsid w:val="008A7167"/>
    <w:rsid w:val="008B0334"/>
    <w:rsid w:val="008B0F0E"/>
    <w:rsid w:val="008B21AF"/>
    <w:rsid w:val="008B252E"/>
    <w:rsid w:val="008B416A"/>
    <w:rsid w:val="008B61EF"/>
    <w:rsid w:val="008B64F4"/>
    <w:rsid w:val="008B6D84"/>
    <w:rsid w:val="008C05CA"/>
    <w:rsid w:val="008C09E7"/>
    <w:rsid w:val="008C0E7E"/>
    <w:rsid w:val="008C12A6"/>
    <w:rsid w:val="008C16E4"/>
    <w:rsid w:val="008C188E"/>
    <w:rsid w:val="008C19E0"/>
    <w:rsid w:val="008C2069"/>
    <w:rsid w:val="008C21A9"/>
    <w:rsid w:val="008C2E6F"/>
    <w:rsid w:val="008C3453"/>
    <w:rsid w:val="008C38EC"/>
    <w:rsid w:val="008C3F55"/>
    <w:rsid w:val="008C3F70"/>
    <w:rsid w:val="008C4A2E"/>
    <w:rsid w:val="008C5299"/>
    <w:rsid w:val="008C5338"/>
    <w:rsid w:val="008C60E9"/>
    <w:rsid w:val="008C67CE"/>
    <w:rsid w:val="008D03B7"/>
    <w:rsid w:val="008D044C"/>
    <w:rsid w:val="008D07EE"/>
    <w:rsid w:val="008D085A"/>
    <w:rsid w:val="008D154F"/>
    <w:rsid w:val="008D1ED9"/>
    <w:rsid w:val="008D2051"/>
    <w:rsid w:val="008D250D"/>
    <w:rsid w:val="008D384A"/>
    <w:rsid w:val="008D390E"/>
    <w:rsid w:val="008D3D7A"/>
    <w:rsid w:val="008D42E0"/>
    <w:rsid w:val="008D4CD6"/>
    <w:rsid w:val="008D4D56"/>
    <w:rsid w:val="008D500E"/>
    <w:rsid w:val="008D5AF9"/>
    <w:rsid w:val="008D6934"/>
    <w:rsid w:val="008D7A36"/>
    <w:rsid w:val="008E11EE"/>
    <w:rsid w:val="008E261E"/>
    <w:rsid w:val="008E28B2"/>
    <w:rsid w:val="008E33B8"/>
    <w:rsid w:val="008E3B8A"/>
    <w:rsid w:val="008E3CC7"/>
    <w:rsid w:val="008E4B49"/>
    <w:rsid w:val="008E53F3"/>
    <w:rsid w:val="008E63D2"/>
    <w:rsid w:val="008E7B70"/>
    <w:rsid w:val="008F041A"/>
    <w:rsid w:val="008F0D00"/>
    <w:rsid w:val="008F14F6"/>
    <w:rsid w:val="008F1AF8"/>
    <w:rsid w:val="008F2107"/>
    <w:rsid w:val="008F30E1"/>
    <w:rsid w:val="008F36C9"/>
    <w:rsid w:val="008F5861"/>
    <w:rsid w:val="008F6080"/>
    <w:rsid w:val="008F7020"/>
    <w:rsid w:val="008F7458"/>
    <w:rsid w:val="008F74E3"/>
    <w:rsid w:val="00900235"/>
    <w:rsid w:val="0090215A"/>
    <w:rsid w:val="00903672"/>
    <w:rsid w:val="00904211"/>
    <w:rsid w:val="00905D6A"/>
    <w:rsid w:val="00906DF4"/>
    <w:rsid w:val="00906E25"/>
    <w:rsid w:val="00907849"/>
    <w:rsid w:val="00907B3D"/>
    <w:rsid w:val="00907B5B"/>
    <w:rsid w:val="00911699"/>
    <w:rsid w:val="00911FB0"/>
    <w:rsid w:val="009128F1"/>
    <w:rsid w:val="009133F3"/>
    <w:rsid w:val="00913861"/>
    <w:rsid w:val="00914E5C"/>
    <w:rsid w:val="00916426"/>
    <w:rsid w:val="009173C7"/>
    <w:rsid w:val="00917B43"/>
    <w:rsid w:val="00917CEA"/>
    <w:rsid w:val="00921326"/>
    <w:rsid w:val="00921B49"/>
    <w:rsid w:val="0092220D"/>
    <w:rsid w:val="00922E6C"/>
    <w:rsid w:val="00923154"/>
    <w:rsid w:val="0092316B"/>
    <w:rsid w:val="00924900"/>
    <w:rsid w:val="0092527F"/>
    <w:rsid w:val="009260A2"/>
    <w:rsid w:val="009261AF"/>
    <w:rsid w:val="0092637E"/>
    <w:rsid w:val="00926655"/>
    <w:rsid w:val="00926707"/>
    <w:rsid w:val="00926C3C"/>
    <w:rsid w:val="00930C58"/>
    <w:rsid w:val="00931C87"/>
    <w:rsid w:val="009325AA"/>
    <w:rsid w:val="00932B33"/>
    <w:rsid w:val="009331C5"/>
    <w:rsid w:val="00933D17"/>
    <w:rsid w:val="009342E7"/>
    <w:rsid w:val="0093440D"/>
    <w:rsid w:val="009347DE"/>
    <w:rsid w:val="0093672A"/>
    <w:rsid w:val="00936B80"/>
    <w:rsid w:val="00937089"/>
    <w:rsid w:val="00937421"/>
    <w:rsid w:val="00937C00"/>
    <w:rsid w:val="00937E68"/>
    <w:rsid w:val="00937F11"/>
    <w:rsid w:val="0094151C"/>
    <w:rsid w:val="009419DF"/>
    <w:rsid w:val="00941D0C"/>
    <w:rsid w:val="00942839"/>
    <w:rsid w:val="00943BD9"/>
    <w:rsid w:val="0094427C"/>
    <w:rsid w:val="00944342"/>
    <w:rsid w:val="00944860"/>
    <w:rsid w:val="0094638E"/>
    <w:rsid w:val="00946DCB"/>
    <w:rsid w:val="0094757C"/>
    <w:rsid w:val="009477FF"/>
    <w:rsid w:val="00947A7A"/>
    <w:rsid w:val="00947CD8"/>
    <w:rsid w:val="00950C2F"/>
    <w:rsid w:val="00951127"/>
    <w:rsid w:val="00951D34"/>
    <w:rsid w:val="00952471"/>
    <w:rsid w:val="00954E59"/>
    <w:rsid w:val="00955080"/>
    <w:rsid w:val="00955501"/>
    <w:rsid w:val="00955A1E"/>
    <w:rsid w:val="0095606A"/>
    <w:rsid w:val="00956620"/>
    <w:rsid w:val="00960046"/>
    <w:rsid w:val="0096032A"/>
    <w:rsid w:val="00960E47"/>
    <w:rsid w:val="00961138"/>
    <w:rsid w:val="00961198"/>
    <w:rsid w:val="00961D8C"/>
    <w:rsid w:val="00962138"/>
    <w:rsid w:val="009621B2"/>
    <w:rsid w:val="00963133"/>
    <w:rsid w:val="009631F1"/>
    <w:rsid w:val="009670C5"/>
    <w:rsid w:val="0096756B"/>
    <w:rsid w:val="0097131F"/>
    <w:rsid w:val="0097201D"/>
    <w:rsid w:val="00973675"/>
    <w:rsid w:val="00973EC7"/>
    <w:rsid w:val="0097422E"/>
    <w:rsid w:val="009746B4"/>
    <w:rsid w:val="00974E26"/>
    <w:rsid w:val="009752AC"/>
    <w:rsid w:val="009755CF"/>
    <w:rsid w:val="0097622D"/>
    <w:rsid w:val="0097640C"/>
    <w:rsid w:val="0097690D"/>
    <w:rsid w:val="00977F7A"/>
    <w:rsid w:val="0098065C"/>
    <w:rsid w:val="00980700"/>
    <w:rsid w:val="00980897"/>
    <w:rsid w:val="00980AE7"/>
    <w:rsid w:val="00980DE7"/>
    <w:rsid w:val="00981EA4"/>
    <w:rsid w:val="00982410"/>
    <w:rsid w:val="0098300D"/>
    <w:rsid w:val="00983532"/>
    <w:rsid w:val="00983AC9"/>
    <w:rsid w:val="009848DD"/>
    <w:rsid w:val="00984A23"/>
    <w:rsid w:val="00985F59"/>
    <w:rsid w:val="0098770B"/>
    <w:rsid w:val="0099011A"/>
    <w:rsid w:val="009903DB"/>
    <w:rsid w:val="00992399"/>
    <w:rsid w:val="009925DF"/>
    <w:rsid w:val="00994590"/>
    <w:rsid w:val="00994782"/>
    <w:rsid w:val="00994D45"/>
    <w:rsid w:val="009950DA"/>
    <w:rsid w:val="00995108"/>
    <w:rsid w:val="00995202"/>
    <w:rsid w:val="0099562D"/>
    <w:rsid w:val="009960B7"/>
    <w:rsid w:val="009969A7"/>
    <w:rsid w:val="009976CE"/>
    <w:rsid w:val="00997D48"/>
    <w:rsid w:val="009A1C3C"/>
    <w:rsid w:val="009A200F"/>
    <w:rsid w:val="009A2DCE"/>
    <w:rsid w:val="009A30E0"/>
    <w:rsid w:val="009A3189"/>
    <w:rsid w:val="009A321B"/>
    <w:rsid w:val="009A3826"/>
    <w:rsid w:val="009A3CD0"/>
    <w:rsid w:val="009A4DEE"/>
    <w:rsid w:val="009A7543"/>
    <w:rsid w:val="009A7B8B"/>
    <w:rsid w:val="009B083C"/>
    <w:rsid w:val="009B0BEA"/>
    <w:rsid w:val="009B139A"/>
    <w:rsid w:val="009B1738"/>
    <w:rsid w:val="009B2428"/>
    <w:rsid w:val="009B2CF3"/>
    <w:rsid w:val="009B3246"/>
    <w:rsid w:val="009B357B"/>
    <w:rsid w:val="009B3DA3"/>
    <w:rsid w:val="009B3F43"/>
    <w:rsid w:val="009B3F67"/>
    <w:rsid w:val="009B4906"/>
    <w:rsid w:val="009B4E80"/>
    <w:rsid w:val="009B553E"/>
    <w:rsid w:val="009B6391"/>
    <w:rsid w:val="009C0508"/>
    <w:rsid w:val="009C0E0E"/>
    <w:rsid w:val="009C189B"/>
    <w:rsid w:val="009C2380"/>
    <w:rsid w:val="009C3EC8"/>
    <w:rsid w:val="009C4346"/>
    <w:rsid w:val="009C5681"/>
    <w:rsid w:val="009C573E"/>
    <w:rsid w:val="009C5821"/>
    <w:rsid w:val="009C589A"/>
    <w:rsid w:val="009C5E69"/>
    <w:rsid w:val="009C65A9"/>
    <w:rsid w:val="009C6DBF"/>
    <w:rsid w:val="009C6FBC"/>
    <w:rsid w:val="009C7412"/>
    <w:rsid w:val="009D1B4D"/>
    <w:rsid w:val="009D1E3B"/>
    <w:rsid w:val="009D25C4"/>
    <w:rsid w:val="009D268A"/>
    <w:rsid w:val="009D2CC1"/>
    <w:rsid w:val="009D3798"/>
    <w:rsid w:val="009D4805"/>
    <w:rsid w:val="009D4A8C"/>
    <w:rsid w:val="009D55AA"/>
    <w:rsid w:val="009D5BAC"/>
    <w:rsid w:val="009D7378"/>
    <w:rsid w:val="009E14EE"/>
    <w:rsid w:val="009E279A"/>
    <w:rsid w:val="009E2E0C"/>
    <w:rsid w:val="009E2FE9"/>
    <w:rsid w:val="009E3570"/>
    <w:rsid w:val="009E3E4A"/>
    <w:rsid w:val="009E58D6"/>
    <w:rsid w:val="009E5B4E"/>
    <w:rsid w:val="009E68E4"/>
    <w:rsid w:val="009E711B"/>
    <w:rsid w:val="009E7597"/>
    <w:rsid w:val="009E7FD3"/>
    <w:rsid w:val="009F0CC9"/>
    <w:rsid w:val="009F1182"/>
    <w:rsid w:val="009F1352"/>
    <w:rsid w:val="009F14DA"/>
    <w:rsid w:val="009F2318"/>
    <w:rsid w:val="009F275E"/>
    <w:rsid w:val="009F686A"/>
    <w:rsid w:val="009F6DA1"/>
    <w:rsid w:val="009F7C65"/>
    <w:rsid w:val="009F7C6F"/>
    <w:rsid w:val="00A00797"/>
    <w:rsid w:val="00A0107E"/>
    <w:rsid w:val="00A019BF"/>
    <w:rsid w:val="00A026A6"/>
    <w:rsid w:val="00A02A6A"/>
    <w:rsid w:val="00A03370"/>
    <w:rsid w:val="00A052B2"/>
    <w:rsid w:val="00A05B54"/>
    <w:rsid w:val="00A06097"/>
    <w:rsid w:val="00A06802"/>
    <w:rsid w:val="00A06DCE"/>
    <w:rsid w:val="00A07266"/>
    <w:rsid w:val="00A07ADC"/>
    <w:rsid w:val="00A07AEA"/>
    <w:rsid w:val="00A12D2E"/>
    <w:rsid w:val="00A13203"/>
    <w:rsid w:val="00A1341E"/>
    <w:rsid w:val="00A13981"/>
    <w:rsid w:val="00A13C9C"/>
    <w:rsid w:val="00A13D4A"/>
    <w:rsid w:val="00A14F2D"/>
    <w:rsid w:val="00A20A50"/>
    <w:rsid w:val="00A21A72"/>
    <w:rsid w:val="00A21E10"/>
    <w:rsid w:val="00A22D35"/>
    <w:rsid w:val="00A239A2"/>
    <w:rsid w:val="00A24782"/>
    <w:rsid w:val="00A30660"/>
    <w:rsid w:val="00A30EE2"/>
    <w:rsid w:val="00A310A1"/>
    <w:rsid w:val="00A32D06"/>
    <w:rsid w:val="00A34345"/>
    <w:rsid w:val="00A344F2"/>
    <w:rsid w:val="00A345C2"/>
    <w:rsid w:val="00A346BD"/>
    <w:rsid w:val="00A35A8E"/>
    <w:rsid w:val="00A3641C"/>
    <w:rsid w:val="00A3669E"/>
    <w:rsid w:val="00A366AE"/>
    <w:rsid w:val="00A37F70"/>
    <w:rsid w:val="00A40091"/>
    <w:rsid w:val="00A4058B"/>
    <w:rsid w:val="00A40BE9"/>
    <w:rsid w:val="00A413D0"/>
    <w:rsid w:val="00A418A0"/>
    <w:rsid w:val="00A418C4"/>
    <w:rsid w:val="00A42455"/>
    <w:rsid w:val="00A42F07"/>
    <w:rsid w:val="00A43F46"/>
    <w:rsid w:val="00A442E1"/>
    <w:rsid w:val="00A443E6"/>
    <w:rsid w:val="00A4581D"/>
    <w:rsid w:val="00A508DB"/>
    <w:rsid w:val="00A523E7"/>
    <w:rsid w:val="00A52F1A"/>
    <w:rsid w:val="00A53805"/>
    <w:rsid w:val="00A5404D"/>
    <w:rsid w:val="00A54AC2"/>
    <w:rsid w:val="00A579D0"/>
    <w:rsid w:val="00A6073A"/>
    <w:rsid w:val="00A620BF"/>
    <w:rsid w:val="00A64078"/>
    <w:rsid w:val="00A64249"/>
    <w:rsid w:val="00A6427F"/>
    <w:rsid w:val="00A642FD"/>
    <w:rsid w:val="00A64BE7"/>
    <w:rsid w:val="00A650F4"/>
    <w:rsid w:val="00A654EA"/>
    <w:rsid w:val="00A656A9"/>
    <w:rsid w:val="00A65BB0"/>
    <w:rsid w:val="00A6611F"/>
    <w:rsid w:val="00A66B5B"/>
    <w:rsid w:val="00A67A52"/>
    <w:rsid w:val="00A67DC3"/>
    <w:rsid w:val="00A67E55"/>
    <w:rsid w:val="00A70697"/>
    <w:rsid w:val="00A707A0"/>
    <w:rsid w:val="00A71A28"/>
    <w:rsid w:val="00A73310"/>
    <w:rsid w:val="00A7353B"/>
    <w:rsid w:val="00A73964"/>
    <w:rsid w:val="00A73D6B"/>
    <w:rsid w:val="00A74500"/>
    <w:rsid w:val="00A74814"/>
    <w:rsid w:val="00A748B2"/>
    <w:rsid w:val="00A75024"/>
    <w:rsid w:val="00A75BD5"/>
    <w:rsid w:val="00A75F0E"/>
    <w:rsid w:val="00A768E3"/>
    <w:rsid w:val="00A76986"/>
    <w:rsid w:val="00A76E01"/>
    <w:rsid w:val="00A81628"/>
    <w:rsid w:val="00A82680"/>
    <w:rsid w:val="00A8282D"/>
    <w:rsid w:val="00A82B5B"/>
    <w:rsid w:val="00A82EAF"/>
    <w:rsid w:val="00A834DC"/>
    <w:rsid w:val="00A8545F"/>
    <w:rsid w:val="00A855C4"/>
    <w:rsid w:val="00A85DFC"/>
    <w:rsid w:val="00A87BAA"/>
    <w:rsid w:val="00A916FA"/>
    <w:rsid w:val="00A9210E"/>
    <w:rsid w:val="00A929E2"/>
    <w:rsid w:val="00A92A41"/>
    <w:rsid w:val="00A93139"/>
    <w:rsid w:val="00A93C06"/>
    <w:rsid w:val="00A93E05"/>
    <w:rsid w:val="00A93F88"/>
    <w:rsid w:val="00A93FD0"/>
    <w:rsid w:val="00A947E3"/>
    <w:rsid w:val="00A9543B"/>
    <w:rsid w:val="00A97B78"/>
    <w:rsid w:val="00AA098C"/>
    <w:rsid w:val="00AA1672"/>
    <w:rsid w:val="00AA16AD"/>
    <w:rsid w:val="00AA21FE"/>
    <w:rsid w:val="00AA4505"/>
    <w:rsid w:val="00AA5348"/>
    <w:rsid w:val="00AA6809"/>
    <w:rsid w:val="00AA7A04"/>
    <w:rsid w:val="00AB0092"/>
    <w:rsid w:val="00AB06C7"/>
    <w:rsid w:val="00AB11F4"/>
    <w:rsid w:val="00AB2A04"/>
    <w:rsid w:val="00AB2E28"/>
    <w:rsid w:val="00AB3721"/>
    <w:rsid w:val="00AB391F"/>
    <w:rsid w:val="00AB4106"/>
    <w:rsid w:val="00AB44F1"/>
    <w:rsid w:val="00AB4B88"/>
    <w:rsid w:val="00AB556F"/>
    <w:rsid w:val="00AB7301"/>
    <w:rsid w:val="00AC0A0F"/>
    <w:rsid w:val="00AC191A"/>
    <w:rsid w:val="00AC1E75"/>
    <w:rsid w:val="00AC386C"/>
    <w:rsid w:val="00AC4187"/>
    <w:rsid w:val="00AC4DBF"/>
    <w:rsid w:val="00AC4E26"/>
    <w:rsid w:val="00AC6062"/>
    <w:rsid w:val="00AC6967"/>
    <w:rsid w:val="00AC7A83"/>
    <w:rsid w:val="00AC7AB8"/>
    <w:rsid w:val="00AC7B2F"/>
    <w:rsid w:val="00AD081C"/>
    <w:rsid w:val="00AD1826"/>
    <w:rsid w:val="00AD32B1"/>
    <w:rsid w:val="00AD3315"/>
    <w:rsid w:val="00AD33CB"/>
    <w:rsid w:val="00AD34B0"/>
    <w:rsid w:val="00AD3CE9"/>
    <w:rsid w:val="00AD50F4"/>
    <w:rsid w:val="00AD511C"/>
    <w:rsid w:val="00AD6B14"/>
    <w:rsid w:val="00AD6D20"/>
    <w:rsid w:val="00AD7D2D"/>
    <w:rsid w:val="00AD7E14"/>
    <w:rsid w:val="00AE1621"/>
    <w:rsid w:val="00AE188D"/>
    <w:rsid w:val="00AE225C"/>
    <w:rsid w:val="00AE253A"/>
    <w:rsid w:val="00AE26B1"/>
    <w:rsid w:val="00AE2976"/>
    <w:rsid w:val="00AE29EF"/>
    <w:rsid w:val="00AE4C4C"/>
    <w:rsid w:val="00AE50A5"/>
    <w:rsid w:val="00AE52D5"/>
    <w:rsid w:val="00AE6BB3"/>
    <w:rsid w:val="00AE7659"/>
    <w:rsid w:val="00AF0948"/>
    <w:rsid w:val="00AF1342"/>
    <w:rsid w:val="00AF1D12"/>
    <w:rsid w:val="00AF3256"/>
    <w:rsid w:val="00AF327C"/>
    <w:rsid w:val="00AF37AC"/>
    <w:rsid w:val="00AF3A68"/>
    <w:rsid w:val="00AF436D"/>
    <w:rsid w:val="00AF4964"/>
    <w:rsid w:val="00AF54A8"/>
    <w:rsid w:val="00AF697E"/>
    <w:rsid w:val="00AF6B2B"/>
    <w:rsid w:val="00AF7333"/>
    <w:rsid w:val="00AF74F7"/>
    <w:rsid w:val="00B0057C"/>
    <w:rsid w:val="00B00A59"/>
    <w:rsid w:val="00B00FB4"/>
    <w:rsid w:val="00B010AD"/>
    <w:rsid w:val="00B0364B"/>
    <w:rsid w:val="00B048B5"/>
    <w:rsid w:val="00B0500B"/>
    <w:rsid w:val="00B069B7"/>
    <w:rsid w:val="00B0704B"/>
    <w:rsid w:val="00B0764C"/>
    <w:rsid w:val="00B10A3E"/>
    <w:rsid w:val="00B10F3C"/>
    <w:rsid w:val="00B12A77"/>
    <w:rsid w:val="00B12EBC"/>
    <w:rsid w:val="00B1323D"/>
    <w:rsid w:val="00B151F9"/>
    <w:rsid w:val="00B15989"/>
    <w:rsid w:val="00B162D2"/>
    <w:rsid w:val="00B1697F"/>
    <w:rsid w:val="00B16DE8"/>
    <w:rsid w:val="00B17AC4"/>
    <w:rsid w:val="00B17CD4"/>
    <w:rsid w:val="00B21489"/>
    <w:rsid w:val="00B21AEA"/>
    <w:rsid w:val="00B22B36"/>
    <w:rsid w:val="00B24BB4"/>
    <w:rsid w:val="00B2509F"/>
    <w:rsid w:val="00B25ECD"/>
    <w:rsid w:val="00B263AA"/>
    <w:rsid w:val="00B263CA"/>
    <w:rsid w:val="00B27EE8"/>
    <w:rsid w:val="00B304B3"/>
    <w:rsid w:val="00B30B8F"/>
    <w:rsid w:val="00B32018"/>
    <w:rsid w:val="00B32550"/>
    <w:rsid w:val="00B32E6E"/>
    <w:rsid w:val="00B3374C"/>
    <w:rsid w:val="00B33B31"/>
    <w:rsid w:val="00B33DBB"/>
    <w:rsid w:val="00B35240"/>
    <w:rsid w:val="00B41867"/>
    <w:rsid w:val="00B42300"/>
    <w:rsid w:val="00B429C8"/>
    <w:rsid w:val="00B43B0D"/>
    <w:rsid w:val="00B46F95"/>
    <w:rsid w:val="00B502F8"/>
    <w:rsid w:val="00B52D6E"/>
    <w:rsid w:val="00B540CF"/>
    <w:rsid w:val="00B5427A"/>
    <w:rsid w:val="00B54782"/>
    <w:rsid w:val="00B54BB6"/>
    <w:rsid w:val="00B54E60"/>
    <w:rsid w:val="00B55E70"/>
    <w:rsid w:val="00B5606A"/>
    <w:rsid w:val="00B56174"/>
    <w:rsid w:val="00B56715"/>
    <w:rsid w:val="00B56B00"/>
    <w:rsid w:val="00B56F21"/>
    <w:rsid w:val="00B571CA"/>
    <w:rsid w:val="00B6022D"/>
    <w:rsid w:val="00B603FA"/>
    <w:rsid w:val="00B61407"/>
    <w:rsid w:val="00B61EE0"/>
    <w:rsid w:val="00B6214A"/>
    <w:rsid w:val="00B623B8"/>
    <w:rsid w:val="00B62560"/>
    <w:rsid w:val="00B62EED"/>
    <w:rsid w:val="00B6360A"/>
    <w:rsid w:val="00B64057"/>
    <w:rsid w:val="00B641E3"/>
    <w:rsid w:val="00B65641"/>
    <w:rsid w:val="00B65FF6"/>
    <w:rsid w:val="00B6627B"/>
    <w:rsid w:val="00B67854"/>
    <w:rsid w:val="00B67AD0"/>
    <w:rsid w:val="00B70241"/>
    <w:rsid w:val="00B7096D"/>
    <w:rsid w:val="00B71DFA"/>
    <w:rsid w:val="00B7272D"/>
    <w:rsid w:val="00B72864"/>
    <w:rsid w:val="00B73860"/>
    <w:rsid w:val="00B73F98"/>
    <w:rsid w:val="00B75144"/>
    <w:rsid w:val="00B752A7"/>
    <w:rsid w:val="00B75B27"/>
    <w:rsid w:val="00B75E2C"/>
    <w:rsid w:val="00B75F27"/>
    <w:rsid w:val="00B75F63"/>
    <w:rsid w:val="00B76C17"/>
    <w:rsid w:val="00B771DF"/>
    <w:rsid w:val="00B77FD5"/>
    <w:rsid w:val="00B802CB"/>
    <w:rsid w:val="00B8068A"/>
    <w:rsid w:val="00B8131E"/>
    <w:rsid w:val="00B81369"/>
    <w:rsid w:val="00B81598"/>
    <w:rsid w:val="00B815FE"/>
    <w:rsid w:val="00B81A05"/>
    <w:rsid w:val="00B83E3E"/>
    <w:rsid w:val="00B84544"/>
    <w:rsid w:val="00B853A4"/>
    <w:rsid w:val="00B85803"/>
    <w:rsid w:val="00B85D8E"/>
    <w:rsid w:val="00B864A1"/>
    <w:rsid w:val="00B86A64"/>
    <w:rsid w:val="00B86F1E"/>
    <w:rsid w:val="00B909A4"/>
    <w:rsid w:val="00B90F79"/>
    <w:rsid w:val="00B93055"/>
    <w:rsid w:val="00B9337D"/>
    <w:rsid w:val="00B945B2"/>
    <w:rsid w:val="00B9541F"/>
    <w:rsid w:val="00B9583A"/>
    <w:rsid w:val="00B95975"/>
    <w:rsid w:val="00B96432"/>
    <w:rsid w:val="00B9660A"/>
    <w:rsid w:val="00B96A65"/>
    <w:rsid w:val="00BA065E"/>
    <w:rsid w:val="00BA067B"/>
    <w:rsid w:val="00BA138E"/>
    <w:rsid w:val="00BA1A50"/>
    <w:rsid w:val="00BA1AC5"/>
    <w:rsid w:val="00BA2E06"/>
    <w:rsid w:val="00BA339B"/>
    <w:rsid w:val="00BA4AE1"/>
    <w:rsid w:val="00BA535C"/>
    <w:rsid w:val="00BA5E21"/>
    <w:rsid w:val="00BA6E06"/>
    <w:rsid w:val="00BA794E"/>
    <w:rsid w:val="00BB1077"/>
    <w:rsid w:val="00BB1F8D"/>
    <w:rsid w:val="00BB28DB"/>
    <w:rsid w:val="00BB3005"/>
    <w:rsid w:val="00BB4012"/>
    <w:rsid w:val="00BB41FC"/>
    <w:rsid w:val="00BB4386"/>
    <w:rsid w:val="00BB560B"/>
    <w:rsid w:val="00BB5A90"/>
    <w:rsid w:val="00BB5BEE"/>
    <w:rsid w:val="00BB71D5"/>
    <w:rsid w:val="00BC0453"/>
    <w:rsid w:val="00BC0A9F"/>
    <w:rsid w:val="00BC1382"/>
    <w:rsid w:val="00BC27A0"/>
    <w:rsid w:val="00BC27EE"/>
    <w:rsid w:val="00BC374E"/>
    <w:rsid w:val="00BC378F"/>
    <w:rsid w:val="00BC3891"/>
    <w:rsid w:val="00BC3B4F"/>
    <w:rsid w:val="00BC3C6A"/>
    <w:rsid w:val="00BC47AC"/>
    <w:rsid w:val="00BC6189"/>
    <w:rsid w:val="00BC6CFD"/>
    <w:rsid w:val="00BC7246"/>
    <w:rsid w:val="00BD0CCA"/>
    <w:rsid w:val="00BD1C9D"/>
    <w:rsid w:val="00BD2251"/>
    <w:rsid w:val="00BD43E1"/>
    <w:rsid w:val="00BD4B42"/>
    <w:rsid w:val="00BD4CA6"/>
    <w:rsid w:val="00BD558F"/>
    <w:rsid w:val="00BD5BB5"/>
    <w:rsid w:val="00BD5D11"/>
    <w:rsid w:val="00BD62A6"/>
    <w:rsid w:val="00BD74F4"/>
    <w:rsid w:val="00BD7EDD"/>
    <w:rsid w:val="00BE0284"/>
    <w:rsid w:val="00BE044C"/>
    <w:rsid w:val="00BE099D"/>
    <w:rsid w:val="00BE17EC"/>
    <w:rsid w:val="00BE1BFD"/>
    <w:rsid w:val="00BE5D20"/>
    <w:rsid w:val="00BE7057"/>
    <w:rsid w:val="00BE725A"/>
    <w:rsid w:val="00BE7EEB"/>
    <w:rsid w:val="00BF0521"/>
    <w:rsid w:val="00BF0A13"/>
    <w:rsid w:val="00BF1BC9"/>
    <w:rsid w:val="00BF1F74"/>
    <w:rsid w:val="00BF248E"/>
    <w:rsid w:val="00BF5BB0"/>
    <w:rsid w:val="00BF5DAB"/>
    <w:rsid w:val="00BF5DEC"/>
    <w:rsid w:val="00BF667C"/>
    <w:rsid w:val="00BF702D"/>
    <w:rsid w:val="00BF7342"/>
    <w:rsid w:val="00C00371"/>
    <w:rsid w:val="00C009BB"/>
    <w:rsid w:val="00C00A6B"/>
    <w:rsid w:val="00C01393"/>
    <w:rsid w:val="00C013A1"/>
    <w:rsid w:val="00C01B14"/>
    <w:rsid w:val="00C0225D"/>
    <w:rsid w:val="00C02504"/>
    <w:rsid w:val="00C04BBF"/>
    <w:rsid w:val="00C106ED"/>
    <w:rsid w:val="00C11A28"/>
    <w:rsid w:val="00C11A7E"/>
    <w:rsid w:val="00C11C09"/>
    <w:rsid w:val="00C1207A"/>
    <w:rsid w:val="00C126B1"/>
    <w:rsid w:val="00C12F0C"/>
    <w:rsid w:val="00C13858"/>
    <w:rsid w:val="00C13AE3"/>
    <w:rsid w:val="00C14030"/>
    <w:rsid w:val="00C145A0"/>
    <w:rsid w:val="00C14940"/>
    <w:rsid w:val="00C150EB"/>
    <w:rsid w:val="00C150ED"/>
    <w:rsid w:val="00C15209"/>
    <w:rsid w:val="00C16B7E"/>
    <w:rsid w:val="00C207F0"/>
    <w:rsid w:val="00C20FB2"/>
    <w:rsid w:val="00C21280"/>
    <w:rsid w:val="00C2171F"/>
    <w:rsid w:val="00C2176C"/>
    <w:rsid w:val="00C21AC6"/>
    <w:rsid w:val="00C2263E"/>
    <w:rsid w:val="00C22EFC"/>
    <w:rsid w:val="00C236E5"/>
    <w:rsid w:val="00C2373A"/>
    <w:rsid w:val="00C23C2D"/>
    <w:rsid w:val="00C23D6D"/>
    <w:rsid w:val="00C24DA3"/>
    <w:rsid w:val="00C24DD4"/>
    <w:rsid w:val="00C24F75"/>
    <w:rsid w:val="00C27336"/>
    <w:rsid w:val="00C306C2"/>
    <w:rsid w:val="00C3157F"/>
    <w:rsid w:val="00C329E4"/>
    <w:rsid w:val="00C32FBA"/>
    <w:rsid w:val="00C33F7F"/>
    <w:rsid w:val="00C34EAF"/>
    <w:rsid w:val="00C35AD1"/>
    <w:rsid w:val="00C373BA"/>
    <w:rsid w:val="00C37831"/>
    <w:rsid w:val="00C40282"/>
    <w:rsid w:val="00C4140D"/>
    <w:rsid w:val="00C41862"/>
    <w:rsid w:val="00C42C5B"/>
    <w:rsid w:val="00C43593"/>
    <w:rsid w:val="00C43B38"/>
    <w:rsid w:val="00C440D8"/>
    <w:rsid w:val="00C4453A"/>
    <w:rsid w:val="00C44901"/>
    <w:rsid w:val="00C44B00"/>
    <w:rsid w:val="00C44EDC"/>
    <w:rsid w:val="00C45601"/>
    <w:rsid w:val="00C4654D"/>
    <w:rsid w:val="00C4674A"/>
    <w:rsid w:val="00C46807"/>
    <w:rsid w:val="00C477FF"/>
    <w:rsid w:val="00C47847"/>
    <w:rsid w:val="00C47DB4"/>
    <w:rsid w:val="00C50255"/>
    <w:rsid w:val="00C508D8"/>
    <w:rsid w:val="00C51CFB"/>
    <w:rsid w:val="00C52F64"/>
    <w:rsid w:val="00C54676"/>
    <w:rsid w:val="00C550EC"/>
    <w:rsid w:val="00C56BFD"/>
    <w:rsid w:val="00C57877"/>
    <w:rsid w:val="00C57CAF"/>
    <w:rsid w:val="00C6007D"/>
    <w:rsid w:val="00C609A4"/>
    <w:rsid w:val="00C61CFD"/>
    <w:rsid w:val="00C61EAB"/>
    <w:rsid w:val="00C62004"/>
    <w:rsid w:val="00C62087"/>
    <w:rsid w:val="00C63827"/>
    <w:rsid w:val="00C65B36"/>
    <w:rsid w:val="00C66FF9"/>
    <w:rsid w:val="00C7033D"/>
    <w:rsid w:val="00C70A51"/>
    <w:rsid w:val="00C713DE"/>
    <w:rsid w:val="00C71F85"/>
    <w:rsid w:val="00C723AD"/>
    <w:rsid w:val="00C733AA"/>
    <w:rsid w:val="00C7417B"/>
    <w:rsid w:val="00C75BC8"/>
    <w:rsid w:val="00C75DA9"/>
    <w:rsid w:val="00C76B44"/>
    <w:rsid w:val="00C77354"/>
    <w:rsid w:val="00C7762C"/>
    <w:rsid w:val="00C7789A"/>
    <w:rsid w:val="00C80768"/>
    <w:rsid w:val="00C81342"/>
    <w:rsid w:val="00C8148E"/>
    <w:rsid w:val="00C81899"/>
    <w:rsid w:val="00C81A50"/>
    <w:rsid w:val="00C81BF7"/>
    <w:rsid w:val="00C81E00"/>
    <w:rsid w:val="00C82AD9"/>
    <w:rsid w:val="00C82D68"/>
    <w:rsid w:val="00C837EE"/>
    <w:rsid w:val="00C839B5"/>
    <w:rsid w:val="00C8688B"/>
    <w:rsid w:val="00C86C62"/>
    <w:rsid w:val="00C8789C"/>
    <w:rsid w:val="00C907C2"/>
    <w:rsid w:val="00C909BE"/>
    <w:rsid w:val="00C90B51"/>
    <w:rsid w:val="00C9243E"/>
    <w:rsid w:val="00C93DE6"/>
    <w:rsid w:val="00C945BE"/>
    <w:rsid w:val="00C94F04"/>
    <w:rsid w:val="00C9533E"/>
    <w:rsid w:val="00C956D6"/>
    <w:rsid w:val="00C960D0"/>
    <w:rsid w:val="00C9643E"/>
    <w:rsid w:val="00C97B3D"/>
    <w:rsid w:val="00CA115B"/>
    <w:rsid w:val="00CA17B7"/>
    <w:rsid w:val="00CA1F04"/>
    <w:rsid w:val="00CA2F58"/>
    <w:rsid w:val="00CA2F8D"/>
    <w:rsid w:val="00CA52A5"/>
    <w:rsid w:val="00CA53AF"/>
    <w:rsid w:val="00CA7D70"/>
    <w:rsid w:val="00CB0064"/>
    <w:rsid w:val="00CB0E4C"/>
    <w:rsid w:val="00CB19C9"/>
    <w:rsid w:val="00CB29D8"/>
    <w:rsid w:val="00CB2B3F"/>
    <w:rsid w:val="00CB2D94"/>
    <w:rsid w:val="00CB35CF"/>
    <w:rsid w:val="00CB3EE1"/>
    <w:rsid w:val="00CB3F49"/>
    <w:rsid w:val="00CB44BE"/>
    <w:rsid w:val="00CB572B"/>
    <w:rsid w:val="00CB725C"/>
    <w:rsid w:val="00CB756A"/>
    <w:rsid w:val="00CC0A6F"/>
    <w:rsid w:val="00CC1670"/>
    <w:rsid w:val="00CC16B7"/>
    <w:rsid w:val="00CC1902"/>
    <w:rsid w:val="00CC4E0A"/>
    <w:rsid w:val="00CC6228"/>
    <w:rsid w:val="00CC667F"/>
    <w:rsid w:val="00CC6C54"/>
    <w:rsid w:val="00CC7406"/>
    <w:rsid w:val="00CC75EF"/>
    <w:rsid w:val="00CC7C69"/>
    <w:rsid w:val="00CC7E3A"/>
    <w:rsid w:val="00CD0616"/>
    <w:rsid w:val="00CD0F0A"/>
    <w:rsid w:val="00CD1DCC"/>
    <w:rsid w:val="00CD209F"/>
    <w:rsid w:val="00CD2646"/>
    <w:rsid w:val="00CD2971"/>
    <w:rsid w:val="00CD2990"/>
    <w:rsid w:val="00CD3385"/>
    <w:rsid w:val="00CD365D"/>
    <w:rsid w:val="00CD3F2B"/>
    <w:rsid w:val="00CD3F4C"/>
    <w:rsid w:val="00CD5534"/>
    <w:rsid w:val="00CD6FFD"/>
    <w:rsid w:val="00CE0967"/>
    <w:rsid w:val="00CE10AA"/>
    <w:rsid w:val="00CE12CE"/>
    <w:rsid w:val="00CE1304"/>
    <w:rsid w:val="00CE18F6"/>
    <w:rsid w:val="00CE2266"/>
    <w:rsid w:val="00CE5023"/>
    <w:rsid w:val="00CE5079"/>
    <w:rsid w:val="00CE64CC"/>
    <w:rsid w:val="00CE6654"/>
    <w:rsid w:val="00CE6C53"/>
    <w:rsid w:val="00CE724F"/>
    <w:rsid w:val="00CF0004"/>
    <w:rsid w:val="00CF0E14"/>
    <w:rsid w:val="00CF178B"/>
    <w:rsid w:val="00CF1A22"/>
    <w:rsid w:val="00CF34CB"/>
    <w:rsid w:val="00CF4A4B"/>
    <w:rsid w:val="00D01996"/>
    <w:rsid w:val="00D01A65"/>
    <w:rsid w:val="00D02483"/>
    <w:rsid w:val="00D02A2A"/>
    <w:rsid w:val="00D052E6"/>
    <w:rsid w:val="00D05611"/>
    <w:rsid w:val="00D06DE6"/>
    <w:rsid w:val="00D0715A"/>
    <w:rsid w:val="00D07F67"/>
    <w:rsid w:val="00D07FA7"/>
    <w:rsid w:val="00D108B6"/>
    <w:rsid w:val="00D1138D"/>
    <w:rsid w:val="00D11972"/>
    <w:rsid w:val="00D120C1"/>
    <w:rsid w:val="00D12CDC"/>
    <w:rsid w:val="00D1359B"/>
    <w:rsid w:val="00D13732"/>
    <w:rsid w:val="00D1517B"/>
    <w:rsid w:val="00D15D5C"/>
    <w:rsid w:val="00D168A6"/>
    <w:rsid w:val="00D16CA3"/>
    <w:rsid w:val="00D175C3"/>
    <w:rsid w:val="00D17E32"/>
    <w:rsid w:val="00D21241"/>
    <w:rsid w:val="00D218F7"/>
    <w:rsid w:val="00D24BFF"/>
    <w:rsid w:val="00D25322"/>
    <w:rsid w:val="00D25C6D"/>
    <w:rsid w:val="00D30CE1"/>
    <w:rsid w:val="00D31669"/>
    <w:rsid w:val="00D31B23"/>
    <w:rsid w:val="00D320C7"/>
    <w:rsid w:val="00D320DF"/>
    <w:rsid w:val="00D331BA"/>
    <w:rsid w:val="00D3378B"/>
    <w:rsid w:val="00D33AB1"/>
    <w:rsid w:val="00D33E07"/>
    <w:rsid w:val="00D34191"/>
    <w:rsid w:val="00D34343"/>
    <w:rsid w:val="00D34771"/>
    <w:rsid w:val="00D360A4"/>
    <w:rsid w:val="00D36D3E"/>
    <w:rsid w:val="00D40160"/>
    <w:rsid w:val="00D410BE"/>
    <w:rsid w:val="00D427FF"/>
    <w:rsid w:val="00D42A5D"/>
    <w:rsid w:val="00D42BE4"/>
    <w:rsid w:val="00D44FE3"/>
    <w:rsid w:val="00D507C0"/>
    <w:rsid w:val="00D50C34"/>
    <w:rsid w:val="00D5296A"/>
    <w:rsid w:val="00D538D0"/>
    <w:rsid w:val="00D54578"/>
    <w:rsid w:val="00D55B8B"/>
    <w:rsid w:val="00D55D4A"/>
    <w:rsid w:val="00D565A2"/>
    <w:rsid w:val="00D5676D"/>
    <w:rsid w:val="00D5688E"/>
    <w:rsid w:val="00D56AA9"/>
    <w:rsid w:val="00D56D64"/>
    <w:rsid w:val="00D5713E"/>
    <w:rsid w:val="00D57B88"/>
    <w:rsid w:val="00D57E0B"/>
    <w:rsid w:val="00D60362"/>
    <w:rsid w:val="00D61155"/>
    <w:rsid w:val="00D63768"/>
    <w:rsid w:val="00D63D29"/>
    <w:rsid w:val="00D63DE4"/>
    <w:rsid w:val="00D6449F"/>
    <w:rsid w:val="00D646C0"/>
    <w:rsid w:val="00D654EF"/>
    <w:rsid w:val="00D661B7"/>
    <w:rsid w:val="00D6671D"/>
    <w:rsid w:val="00D67025"/>
    <w:rsid w:val="00D6711C"/>
    <w:rsid w:val="00D67F0F"/>
    <w:rsid w:val="00D7076C"/>
    <w:rsid w:val="00D713FC"/>
    <w:rsid w:val="00D71A31"/>
    <w:rsid w:val="00D71A72"/>
    <w:rsid w:val="00D722E2"/>
    <w:rsid w:val="00D738CC"/>
    <w:rsid w:val="00D73D09"/>
    <w:rsid w:val="00D74A8E"/>
    <w:rsid w:val="00D74D90"/>
    <w:rsid w:val="00D7700F"/>
    <w:rsid w:val="00D7729D"/>
    <w:rsid w:val="00D812AE"/>
    <w:rsid w:val="00D819E5"/>
    <w:rsid w:val="00D81CE2"/>
    <w:rsid w:val="00D82DFF"/>
    <w:rsid w:val="00D83F16"/>
    <w:rsid w:val="00D840E0"/>
    <w:rsid w:val="00D84B2A"/>
    <w:rsid w:val="00D851B7"/>
    <w:rsid w:val="00D86036"/>
    <w:rsid w:val="00D86779"/>
    <w:rsid w:val="00D900C3"/>
    <w:rsid w:val="00D901FA"/>
    <w:rsid w:val="00D92159"/>
    <w:rsid w:val="00D9223B"/>
    <w:rsid w:val="00D92584"/>
    <w:rsid w:val="00D92E46"/>
    <w:rsid w:val="00D931DC"/>
    <w:rsid w:val="00D93419"/>
    <w:rsid w:val="00D945B6"/>
    <w:rsid w:val="00D948C0"/>
    <w:rsid w:val="00D9497A"/>
    <w:rsid w:val="00D95A9B"/>
    <w:rsid w:val="00D95FF6"/>
    <w:rsid w:val="00D9637F"/>
    <w:rsid w:val="00D96842"/>
    <w:rsid w:val="00D96AB5"/>
    <w:rsid w:val="00D97273"/>
    <w:rsid w:val="00D973A7"/>
    <w:rsid w:val="00D9772F"/>
    <w:rsid w:val="00D9776F"/>
    <w:rsid w:val="00DA0166"/>
    <w:rsid w:val="00DA0A89"/>
    <w:rsid w:val="00DA16F1"/>
    <w:rsid w:val="00DA17EE"/>
    <w:rsid w:val="00DA1A6E"/>
    <w:rsid w:val="00DA1E42"/>
    <w:rsid w:val="00DA25C8"/>
    <w:rsid w:val="00DA2BBD"/>
    <w:rsid w:val="00DA3127"/>
    <w:rsid w:val="00DA4CD8"/>
    <w:rsid w:val="00DA4D09"/>
    <w:rsid w:val="00DA58CB"/>
    <w:rsid w:val="00DA6BB0"/>
    <w:rsid w:val="00DA6FA8"/>
    <w:rsid w:val="00DA70ED"/>
    <w:rsid w:val="00DB0B3B"/>
    <w:rsid w:val="00DB0BD7"/>
    <w:rsid w:val="00DB2257"/>
    <w:rsid w:val="00DB23C1"/>
    <w:rsid w:val="00DB2448"/>
    <w:rsid w:val="00DB2D01"/>
    <w:rsid w:val="00DB34BC"/>
    <w:rsid w:val="00DB3D46"/>
    <w:rsid w:val="00DB4346"/>
    <w:rsid w:val="00DB43CA"/>
    <w:rsid w:val="00DB43F7"/>
    <w:rsid w:val="00DB470C"/>
    <w:rsid w:val="00DB4F06"/>
    <w:rsid w:val="00DB57CA"/>
    <w:rsid w:val="00DB5F4C"/>
    <w:rsid w:val="00DB6141"/>
    <w:rsid w:val="00DB65F5"/>
    <w:rsid w:val="00DC0211"/>
    <w:rsid w:val="00DC041B"/>
    <w:rsid w:val="00DC13A9"/>
    <w:rsid w:val="00DC1F87"/>
    <w:rsid w:val="00DC20C8"/>
    <w:rsid w:val="00DC280C"/>
    <w:rsid w:val="00DC37E5"/>
    <w:rsid w:val="00DC39F7"/>
    <w:rsid w:val="00DC588D"/>
    <w:rsid w:val="00DC6FD3"/>
    <w:rsid w:val="00DC7037"/>
    <w:rsid w:val="00DC7E79"/>
    <w:rsid w:val="00DC7F31"/>
    <w:rsid w:val="00DD0E6F"/>
    <w:rsid w:val="00DD219C"/>
    <w:rsid w:val="00DD229E"/>
    <w:rsid w:val="00DD28FC"/>
    <w:rsid w:val="00DD2DF7"/>
    <w:rsid w:val="00DD3427"/>
    <w:rsid w:val="00DD4470"/>
    <w:rsid w:val="00DD4E55"/>
    <w:rsid w:val="00DD5099"/>
    <w:rsid w:val="00DD5587"/>
    <w:rsid w:val="00DD61C6"/>
    <w:rsid w:val="00DD7703"/>
    <w:rsid w:val="00DD7901"/>
    <w:rsid w:val="00DD7AFA"/>
    <w:rsid w:val="00DD7F51"/>
    <w:rsid w:val="00DE42AA"/>
    <w:rsid w:val="00DE4538"/>
    <w:rsid w:val="00DE4BC2"/>
    <w:rsid w:val="00DE4C68"/>
    <w:rsid w:val="00DE540B"/>
    <w:rsid w:val="00DE6BC3"/>
    <w:rsid w:val="00DF07F1"/>
    <w:rsid w:val="00DF080B"/>
    <w:rsid w:val="00DF16B6"/>
    <w:rsid w:val="00DF26C5"/>
    <w:rsid w:val="00DF27D6"/>
    <w:rsid w:val="00DF2803"/>
    <w:rsid w:val="00DF2B05"/>
    <w:rsid w:val="00DF3FCF"/>
    <w:rsid w:val="00DF5575"/>
    <w:rsid w:val="00DF5FB2"/>
    <w:rsid w:val="00DF5FC9"/>
    <w:rsid w:val="00DF64B9"/>
    <w:rsid w:val="00DF6B77"/>
    <w:rsid w:val="00DF728B"/>
    <w:rsid w:val="00DF7741"/>
    <w:rsid w:val="00DF7C8C"/>
    <w:rsid w:val="00E00184"/>
    <w:rsid w:val="00E0077B"/>
    <w:rsid w:val="00E011E1"/>
    <w:rsid w:val="00E01472"/>
    <w:rsid w:val="00E017E9"/>
    <w:rsid w:val="00E0254A"/>
    <w:rsid w:val="00E051E0"/>
    <w:rsid w:val="00E05CE4"/>
    <w:rsid w:val="00E06933"/>
    <w:rsid w:val="00E0699C"/>
    <w:rsid w:val="00E06A08"/>
    <w:rsid w:val="00E06B16"/>
    <w:rsid w:val="00E07F3D"/>
    <w:rsid w:val="00E1113A"/>
    <w:rsid w:val="00E11DF5"/>
    <w:rsid w:val="00E12849"/>
    <w:rsid w:val="00E12B62"/>
    <w:rsid w:val="00E12D6B"/>
    <w:rsid w:val="00E1423C"/>
    <w:rsid w:val="00E15123"/>
    <w:rsid w:val="00E15710"/>
    <w:rsid w:val="00E20149"/>
    <w:rsid w:val="00E20845"/>
    <w:rsid w:val="00E221A5"/>
    <w:rsid w:val="00E22461"/>
    <w:rsid w:val="00E2275E"/>
    <w:rsid w:val="00E22B2F"/>
    <w:rsid w:val="00E237E1"/>
    <w:rsid w:val="00E23ACE"/>
    <w:rsid w:val="00E23EAB"/>
    <w:rsid w:val="00E24D0B"/>
    <w:rsid w:val="00E24DA3"/>
    <w:rsid w:val="00E2618E"/>
    <w:rsid w:val="00E26AEC"/>
    <w:rsid w:val="00E27472"/>
    <w:rsid w:val="00E314F9"/>
    <w:rsid w:val="00E31792"/>
    <w:rsid w:val="00E317BF"/>
    <w:rsid w:val="00E32A47"/>
    <w:rsid w:val="00E32EB8"/>
    <w:rsid w:val="00E33236"/>
    <w:rsid w:val="00E338AE"/>
    <w:rsid w:val="00E33C97"/>
    <w:rsid w:val="00E34D20"/>
    <w:rsid w:val="00E34D70"/>
    <w:rsid w:val="00E3524A"/>
    <w:rsid w:val="00E359D7"/>
    <w:rsid w:val="00E359E5"/>
    <w:rsid w:val="00E35D27"/>
    <w:rsid w:val="00E36093"/>
    <w:rsid w:val="00E364DD"/>
    <w:rsid w:val="00E3695C"/>
    <w:rsid w:val="00E37CEA"/>
    <w:rsid w:val="00E37DB2"/>
    <w:rsid w:val="00E40872"/>
    <w:rsid w:val="00E40F6B"/>
    <w:rsid w:val="00E420A9"/>
    <w:rsid w:val="00E42716"/>
    <w:rsid w:val="00E427A5"/>
    <w:rsid w:val="00E4401A"/>
    <w:rsid w:val="00E441B7"/>
    <w:rsid w:val="00E45AEA"/>
    <w:rsid w:val="00E46FF1"/>
    <w:rsid w:val="00E5005E"/>
    <w:rsid w:val="00E50D51"/>
    <w:rsid w:val="00E50EDB"/>
    <w:rsid w:val="00E52423"/>
    <w:rsid w:val="00E52E33"/>
    <w:rsid w:val="00E535AD"/>
    <w:rsid w:val="00E53943"/>
    <w:rsid w:val="00E54439"/>
    <w:rsid w:val="00E546CC"/>
    <w:rsid w:val="00E54A51"/>
    <w:rsid w:val="00E55A03"/>
    <w:rsid w:val="00E564C3"/>
    <w:rsid w:val="00E56635"/>
    <w:rsid w:val="00E576F1"/>
    <w:rsid w:val="00E600CA"/>
    <w:rsid w:val="00E6214E"/>
    <w:rsid w:val="00E64656"/>
    <w:rsid w:val="00E6472C"/>
    <w:rsid w:val="00E64A40"/>
    <w:rsid w:val="00E66528"/>
    <w:rsid w:val="00E70956"/>
    <w:rsid w:val="00E70ABE"/>
    <w:rsid w:val="00E71455"/>
    <w:rsid w:val="00E71CF6"/>
    <w:rsid w:val="00E71DFE"/>
    <w:rsid w:val="00E72027"/>
    <w:rsid w:val="00E73794"/>
    <w:rsid w:val="00E73C9B"/>
    <w:rsid w:val="00E74090"/>
    <w:rsid w:val="00E754ED"/>
    <w:rsid w:val="00E7675C"/>
    <w:rsid w:val="00E77071"/>
    <w:rsid w:val="00E77C1F"/>
    <w:rsid w:val="00E805BE"/>
    <w:rsid w:val="00E83103"/>
    <w:rsid w:val="00E83C09"/>
    <w:rsid w:val="00E84D0E"/>
    <w:rsid w:val="00E84F5D"/>
    <w:rsid w:val="00E8523F"/>
    <w:rsid w:val="00E85C5E"/>
    <w:rsid w:val="00E85E47"/>
    <w:rsid w:val="00E8736B"/>
    <w:rsid w:val="00E876FF"/>
    <w:rsid w:val="00E903F0"/>
    <w:rsid w:val="00E921F0"/>
    <w:rsid w:val="00E92A6B"/>
    <w:rsid w:val="00E93468"/>
    <w:rsid w:val="00E9384C"/>
    <w:rsid w:val="00E9421E"/>
    <w:rsid w:val="00E94470"/>
    <w:rsid w:val="00E946B0"/>
    <w:rsid w:val="00E94CFA"/>
    <w:rsid w:val="00E966EF"/>
    <w:rsid w:val="00E978D2"/>
    <w:rsid w:val="00EA07A3"/>
    <w:rsid w:val="00EA138B"/>
    <w:rsid w:val="00EA1656"/>
    <w:rsid w:val="00EA2652"/>
    <w:rsid w:val="00EA2ADC"/>
    <w:rsid w:val="00EA351C"/>
    <w:rsid w:val="00EA532E"/>
    <w:rsid w:val="00EA6069"/>
    <w:rsid w:val="00EA7145"/>
    <w:rsid w:val="00EA7B01"/>
    <w:rsid w:val="00EB0563"/>
    <w:rsid w:val="00EB37E7"/>
    <w:rsid w:val="00EB3FE4"/>
    <w:rsid w:val="00EB48DD"/>
    <w:rsid w:val="00EB4F1F"/>
    <w:rsid w:val="00EB54B9"/>
    <w:rsid w:val="00EB6C57"/>
    <w:rsid w:val="00EB6EBD"/>
    <w:rsid w:val="00EB7461"/>
    <w:rsid w:val="00EB7C39"/>
    <w:rsid w:val="00EC1AAF"/>
    <w:rsid w:val="00EC1B88"/>
    <w:rsid w:val="00EC2C1E"/>
    <w:rsid w:val="00EC2CD6"/>
    <w:rsid w:val="00EC35D9"/>
    <w:rsid w:val="00EC3FC4"/>
    <w:rsid w:val="00EC41E9"/>
    <w:rsid w:val="00EC534D"/>
    <w:rsid w:val="00EC69F0"/>
    <w:rsid w:val="00EC6D84"/>
    <w:rsid w:val="00ED1190"/>
    <w:rsid w:val="00ED17EF"/>
    <w:rsid w:val="00ED24C5"/>
    <w:rsid w:val="00ED2C8F"/>
    <w:rsid w:val="00ED330B"/>
    <w:rsid w:val="00ED3E41"/>
    <w:rsid w:val="00ED4833"/>
    <w:rsid w:val="00ED5CC6"/>
    <w:rsid w:val="00ED6114"/>
    <w:rsid w:val="00ED64F8"/>
    <w:rsid w:val="00ED6630"/>
    <w:rsid w:val="00ED688F"/>
    <w:rsid w:val="00ED7199"/>
    <w:rsid w:val="00EE086B"/>
    <w:rsid w:val="00EE133E"/>
    <w:rsid w:val="00EE1F8C"/>
    <w:rsid w:val="00EE3F80"/>
    <w:rsid w:val="00EE4853"/>
    <w:rsid w:val="00EE4A8A"/>
    <w:rsid w:val="00EE58D4"/>
    <w:rsid w:val="00EE5CAE"/>
    <w:rsid w:val="00EE7B8C"/>
    <w:rsid w:val="00EE7FAE"/>
    <w:rsid w:val="00EF0E06"/>
    <w:rsid w:val="00EF210A"/>
    <w:rsid w:val="00EF3276"/>
    <w:rsid w:val="00EF4687"/>
    <w:rsid w:val="00EF4EA5"/>
    <w:rsid w:val="00EF5BE7"/>
    <w:rsid w:val="00EF6F6D"/>
    <w:rsid w:val="00EF72C5"/>
    <w:rsid w:val="00EF761A"/>
    <w:rsid w:val="00EF7A3C"/>
    <w:rsid w:val="00F00598"/>
    <w:rsid w:val="00F0178C"/>
    <w:rsid w:val="00F02289"/>
    <w:rsid w:val="00F0246C"/>
    <w:rsid w:val="00F052E8"/>
    <w:rsid w:val="00F062FE"/>
    <w:rsid w:val="00F0726F"/>
    <w:rsid w:val="00F11111"/>
    <w:rsid w:val="00F11A16"/>
    <w:rsid w:val="00F11B39"/>
    <w:rsid w:val="00F12395"/>
    <w:rsid w:val="00F12550"/>
    <w:rsid w:val="00F13747"/>
    <w:rsid w:val="00F13F87"/>
    <w:rsid w:val="00F141D1"/>
    <w:rsid w:val="00F143B1"/>
    <w:rsid w:val="00F147B7"/>
    <w:rsid w:val="00F14C9C"/>
    <w:rsid w:val="00F14E06"/>
    <w:rsid w:val="00F15D17"/>
    <w:rsid w:val="00F17F5F"/>
    <w:rsid w:val="00F20133"/>
    <w:rsid w:val="00F20C3F"/>
    <w:rsid w:val="00F20CE3"/>
    <w:rsid w:val="00F212F3"/>
    <w:rsid w:val="00F2198C"/>
    <w:rsid w:val="00F219BF"/>
    <w:rsid w:val="00F21C15"/>
    <w:rsid w:val="00F2228A"/>
    <w:rsid w:val="00F225CF"/>
    <w:rsid w:val="00F22735"/>
    <w:rsid w:val="00F2458D"/>
    <w:rsid w:val="00F256E1"/>
    <w:rsid w:val="00F25D33"/>
    <w:rsid w:val="00F26E00"/>
    <w:rsid w:val="00F30DA4"/>
    <w:rsid w:val="00F3146E"/>
    <w:rsid w:val="00F32811"/>
    <w:rsid w:val="00F3282B"/>
    <w:rsid w:val="00F32CE3"/>
    <w:rsid w:val="00F34187"/>
    <w:rsid w:val="00F3481E"/>
    <w:rsid w:val="00F36AB4"/>
    <w:rsid w:val="00F37097"/>
    <w:rsid w:val="00F37A73"/>
    <w:rsid w:val="00F37EAD"/>
    <w:rsid w:val="00F40080"/>
    <w:rsid w:val="00F40AB4"/>
    <w:rsid w:val="00F41D5C"/>
    <w:rsid w:val="00F41ECE"/>
    <w:rsid w:val="00F4273F"/>
    <w:rsid w:val="00F432E7"/>
    <w:rsid w:val="00F43712"/>
    <w:rsid w:val="00F43944"/>
    <w:rsid w:val="00F43DA7"/>
    <w:rsid w:val="00F44FF1"/>
    <w:rsid w:val="00F453BB"/>
    <w:rsid w:val="00F45BF0"/>
    <w:rsid w:val="00F45DB4"/>
    <w:rsid w:val="00F465F3"/>
    <w:rsid w:val="00F4687D"/>
    <w:rsid w:val="00F47740"/>
    <w:rsid w:val="00F503D2"/>
    <w:rsid w:val="00F50896"/>
    <w:rsid w:val="00F51EB8"/>
    <w:rsid w:val="00F5233B"/>
    <w:rsid w:val="00F52801"/>
    <w:rsid w:val="00F54D07"/>
    <w:rsid w:val="00F5545D"/>
    <w:rsid w:val="00F560C7"/>
    <w:rsid w:val="00F5620F"/>
    <w:rsid w:val="00F56517"/>
    <w:rsid w:val="00F572F0"/>
    <w:rsid w:val="00F57943"/>
    <w:rsid w:val="00F60013"/>
    <w:rsid w:val="00F6056D"/>
    <w:rsid w:val="00F61241"/>
    <w:rsid w:val="00F61BBF"/>
    <w:rsid w:val="00F61F49"/>
    <w:rsid w:val="00F62C1B"/>
    <w:rsid w:val="00F62CF2"/>
    <w:rsid w:val="00F636CD"/>
    <w:rsid w:val="00F645D5"/>
    <w:rsid w:val="00F66A0E"/>
    <w:rsid w:val="00F6783F"/>
    <w:rsid w:val="00F7043E"/>
    <w:rsid w:val="00F70AFB"/>
    <w:rsid w:val="00F71396"/>
    <w:rsid w:val="00F71B91"/>
    <w:rsid w:val="00F7253A"/>
    <w:rsid w:val="00F73634"/>
    <w:rsid w:val="00F73DC4"/>
    <w:rsid w:val="00F73F92"/>
    <w:rsid w:val="00F75D97"/>
    <w:rsid w:val="00F80C7E"/>
    <w:rsid w:val="00F810AD"/>
    <w:rsid w:val="00F81714"/>
    <w:rsid w:val="00F81D2A"/>
    <w:rsid w:val="00F82271"/>
    <w:rsid w:val="00F82B22"/>
    <w:rsid w:val="00F835B3"/>
    <w:rsid w:val="00F840AA"/>
    <w:rsid w:val="00F84350"/>
    <w:rsid w:val="00F86E83"/>
    <w:rsid w:val="00F90044"/>
    <w:rsid w:val="00F90236"/>
    <w:rsid w:val="00F90ED3"/>
    <w:rsid w:val="00F913CD"/>
    <w:rsid w:val="00F91D7B"/>
    <w:rsid w:val="00F92313"/>
    <w:rsid w:val="00F9306C"/>
    <w:rsid w:val="00F9308B"/>
    <w:rsid w:val="00F93114"/>
    <w:rsid w:val="00F93693"/>
    <w:rsid w:val="00F9402F"/>
    <w:rsid w:val="00F979A2"/>
    <w:rsid w:val="00FA07D8"/>
    <w:rsid w:val="00FA0FFF"/>
    <w:rsid w:val="00FA116F"/>
    <w:rsid w:val="00FA1CB8"/>
    <w:rsid w:val="00FA209D"/>
    <w:rsid w:val="00FA314E"/>
    <w:rsid w:val="00FA3732"/>
    <w:rsid w:val="00FA38AF"/>
    <w:rsid w:val="00FA4D4A"/>
    <w:rsid w:val="00FA5A8C"/>
    <w:rsid w:val="00FA5D52"/>
    <w:rsid w:val="00FA7C57"/>
    <w:rsid w:val="00FB0295"/>
    <w:rsid w:val="00FB04FA"/>
    <w:rsid w:val="00FB0B9F"/>
    <w:rsid w:val="00FB1135"/>
    <w:rsid w:val="00FB3C3D"/>
    <w:rsid w:val="00FB41EC"/>
    <w:rsid w:val="00FB44CB"/>
    <w:rsid w:val="00FB4987"/>
    <w:rsid w:val="00FB4AF9"/>
    <w:rsid w:val="00FB55B6"/>
    <w:rsid w:val="00FB5C26"/>
    <w:rsid w:val="00FC066B"/>
    <w:rsid w:val="00FC15CA"/>
    <w:rsid w:val="00FC1B86"/>
    <w:rsid w:val="00FC251B"/>
    <w:rsid w:val="00FC2934"/>
    <w:rsid w:val="00FC31B8"/>
    <w:rsid w:val="00FC3545"/>
    <w:rsid w:val="00FC3DB1"/>
    <w:rsid w:val="00FC4AAF"/>
    <w:rsid w:val="00FC5E25"/>
    <w:rsid w:val="00FC753A"/>
    <w:rsid w:val="00FC7AFE"/>
    <w:rsid w:val="00FD1434"/>
    <w:rsid w:val="00FD19AC"/>
    <w:rsid w:val="00FD1DC6"/>
    <w:rsid w:val="00FD2606"/>
    <w:rsid w:val="00FD2C53"/>
    <w:rsid w:val="00FD3612"/>
    <w:rsid w:val="00FD383E"/>
    <w:rsid w:val="00FD3B4A"/>
    <w:rsid w:val="00FD6941"/>
    <w:rsid w:val="00FD6CB0"/>
    <w:rsid w:val="00FE0BA1"/>
    <w:rsid w:val="00FE1545"/>
    <w:rsid w:val="00FE285C"/>
    <w:rsid w:val="00FE3A26"/>
    <w:rsid w:val="00FE3D46"/>
    <w:rsid w:val="00FE3DFD"/>
    <w:rsid w:val="00FE54B3"/>
    <w:rsid w:val="00FE634F"/>
    <w:rsid w:val="00FE6941"/>
    <w:rsid w:val="00FE7948"/>
    <w:rsid w:val="00FE7F98"/>
    <w:rsid w:val="00FE7FC6"/>
    <w:rsid w:val="00FF00B9"/>
    <w:rsid w:val="00FF0369"/>
    <w:rsid w:val="00FF0414"/>
    <w:rsid w:val="00FF1A98"/>
    <w:rsid w:val="00FF1FD9"/>
    <w:rsid w:val="00FF2B79"/>
    <w:rsid w:val="00FF2DF7"/>
    <w:rsid w:val="00FF3E31"/>
    <w:rsid w:val="00FF44BA"/>
    <w:rsid w:val="00FF4F10"/>
    <w:rsid w:val="00FF5B29"/>
    <w:rsid w:val="00FF61E8"/>
    <w:rsid w:val="00FF7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6D0E8BA"/>
  <w15:chartTrackingRefBased/>
  <w15:docId w15:val="{86264DE3-D93E-4293-82BE-562CE469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C4C"/>
    <w:rPr>
      <w:rFonts w:asciiTheme="minorHAnsi" w:hAnsiTheme="minorHAnsi"/>
      <w:sz w:val="24"/>
      <w:szCs w:val="24"/>
    </w:rPr>
  </w:style>
  <w:style w:type="paragraph" w:styleId="Heading1">
    <w:name w:val="heading 1"/>
    <w:basedOn w:val="Normal"/>
    <w:next w:val="Normal"/>
    <w:link w:val="Heading1Char"/>
    <w:qFormat/>
    <w:rsid w:val="009C5821"/>
    <w:pPr>
      <w:keepNext/>
      <w:keepLines/>
      <w:numPr>
        <w:numId w:val="2"/>
      </w:numPr>
      <w:spacing w:before="240"/>
      <w:outlineLvl w:val="0"/>
    </w:pPr>
    <w:rPr>
      <w:rFonts w:eastAsiaTheme="majorEastAsia" w:cstheme="majorBidi"/>
      <w:b/>
      <w:color w:val="2E74B5" w:themeColor="accent1" w:themeShade="BF"/>
      <w:sz w:val="32"/>
      <w:szCs w:val="32"/>
    </w:rPr>
  </w:style>
  <w:style w:type="paragraph" w:styleId="Heading2">
    <w:name w:val="heading 2"/>
    <w:basedOn w:val="Normal"/>
    <w:link w:val="Heading2Char"/>
    <w:uiPriority w:val="9"/>
    <w:qFormat/>
    <w:rsid w:val="000D49D9"/>
    <w:pPr>
      <w:numPr>
        <w:ilvl w:val="1"/>
        <w:numId w:val="2"/>
      </w:numPr>
      <w:spacing w:before="100" w:beforeAutospacing="1" w:after="100" w:afterAutospacing="1"/>
      <w:ind w:left="1144"/>
      <w:outlineLvl w:val="1"/>
    </w:pPr>
    <w:rPr>
      <w:b/>
      <w:bCs/>
      <w:color w:val="5B9BD5" w:themeColor="accent1"/>
      <w:sz w:val="28"/>
      <w:szCs w:val="28"/>
      <w:lang w:val="cy-GB" w:eastAsia="cy-GB"/>
    </w:rPr>
  </w:style>
  <w:style w:type="paragraph" w:styleId="Heading3">
    <w:name w:val="heading 3"/>
    <w:basedOn w:val="Normal"/>
    <w:next w:val="Normal"/>
    <w:link w:val="Heading3Char"/>
    <w:unhideWhenUsed/>
    <w:qFormat/>
    <w:rsid w:val="000D49D9"/>
    <w:pPr>
      <w:keepNext/>
      <w:keepLines/>
      <w:numPr>
        <w:ilvl w:val="2"/>
        <w:numId w:val="2"/>
      </w:numPr>
      <w:spacing w:before="40"/>
      <w:outlineLvl w:val="2"/>
    </w:pPr>
    <w:rPr>
      <w:rFonts w:eastAsiaTheme="majorEastAsia" w:cstheme="majorBidi"/>
      <w:color w:val="1F4D78" w:themeColor="accent1" w:themeShade="7F"/>
    </w:rPr>
  </w:style>
  <w:style w:type="paragraph" w:styleId="Heading4">
    <w:name w:val="heading 4"/>
    <w:basedOn w:val="Normal"/>
    <w:next w:val="Normal"/>
    <w:link w:val="Heading4Char"/>
    <w:unhideWhenUsed/>
    <w:qFormat/>
    <w:rsid w:val="00C24DD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930C58"/>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930C58"/>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930C58"/>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F642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F642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663EB"/>
    <w:pPr>
      <w:tabs>
        <w:tab w:val="center" w:pos="4513"/>
        <w:tab w:val="right" w:pos="9026"/>
      </w:tabs>
    </w:pPr>
  </w:style>
  <w:style w:type="character" w:customStyle="1" w:styleId="HeaderChar">
    <w:name w:val="Header Char"/>
    <w:basedOn w:val="DefaultParagraphFont"/>
    <w:link w:val="Header"/>
    <w:uiPriority w:val="99"/>
    <w:rsid w:val="001663EB"/>
    <w:rPr>
      <w:sz w:val="24"/>
      <w:szCs w:val="24"/>
    </w:rPr>
  </w:style>
  <w:style w:type="paragraph" w:styleId="Footer">
    <w:name w:val="footer"/>
    <w:basedOn w:val="Normal"/>
    <w:link w:val="FooterChar"/>
    <w:uiPriority w:val="99"/>
    <w:rsid w:val="001663EB"/>
    <w:pPr>
      <w:tabs>
        <w:tab w:val="center" w:pos="4513"/>
        <w:tab w:val="right" w:pos="9026"/>
      </w:tabs>
    </w:pPr>
  </w:style>
  <w:style w:type="character" w:customStyle="1" w:styleId="FooterChar">
    <w:name w:val="Footer Char"/>
    <w:basedOn w:val="DefaultParagraphFont"/>
    <w:link w:val="Footer"/>
    <w:uiPriority w:val="99"/>
    <w:rsid w:val="001663EB"/>
    <w:rPr>
      <w:sz w:val="24"/>
      <w:szCs w:val="24"/>
    </w:rPr>
  </w:style>
  <w:style w:type="paragraph" w:styleId="ListParagraph">
    <w:name w:val="List Paragraph"/>
    <w:basedOn w:val="Normal"/>
    <w:uiPriority w:val="34"/>
    <w:qFormat/>
    <w:rsid w:val="001171D1"/>
    <w:pPr>
      <w:spacing w:line="276" w:lineRule="auto"/>
      <w:ind w:left="720"/>
      <w:contextualSpacing/>
    </w:pPr>
    <w:rPr>
      <w:rFonts w:eastAsiaTheme="minorHAnsi" w:cstheme="minorBidi"/>
      <w:sz w:val="22"/>
      <w:szCs w:val="22"/>
      <w:lang w:eastAsia="en-US"/>
    </w:rPr>
  </w:style>
  <w:style w:type="character" w:styleId="Hyperlink">
    <w:name w:val="Hyperlink"/>
    <w:uiPriority w:val="99"/>
    <w:rsid w:val="001171D1"/>
    <w:rPr>
      <w:color w:val="0000FF"/>
      <w:u w:val="single"/>
    </w:rPr>
  </w:style>
  <w:style w:type="paragraph" w:styleId="BalloonText">
    <w:name w:val="Balloon Text"/>
    <w:basedOn w:val="Normal"/>
    <w:link w:val="BalloonTextChar"/>
    <w:rsid w:val="00194782"/>
    <w:rPr>
      <w:rFonts w:ascii="Segoe UI" w:hAnsi="Segoe UI" w:cs="Segoe UI"/>
      <w:sz w:val="18"/>
      <w:szCs w:val="18"/>
    </w:rPr>
  </w:style>
  <w:style w:type="character" w:customStyle="1" w:styleId="BalloonTextChar">
    <w:name w:val="Balloon Text Char"/>
    <w:basedOn w:val="DefaultParagraphFont"/>
    <w:link w:val="BalloonText"/>
    <w:rsid w:val="00194782"/>
    <w:rPr>
      <w:rFonts w:ascii="Segoe UI" w:hAnsi="Segoe UI" w:cs="Segoe UI"/>
      <w:sz w:val="18"/>
      <w:szCs w:val="18"/>
    </w:rPr>
  </w:style>
  <w:style w:type="table" w:styleId="TableGrid">
    <w:name w:val="Table Grid"/>
    <w:basedOn w:val="TableNormal"/>
    <w:rsid w:val="004A52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D49D9"/>
    <w:rPr>
      <w:rFonts w:asciiTheme="minorHAnsi" w:hAnsiTheme="minorHAnsi"/>
      <w:b/>
      <w:bCs/>
      <w:color w:val="5B9BD5" w:themeColor="accent1"/>
      <w:sz w:val="28"/>
      <w:szCs w:val="28"/>
      <w:lang w:val="cy-GB" w:eastAsia="cy-GB"/>
    </w:rPr>
  </w:style>
  <w:style w:type="character" w:customStyle="1" w:styleId="Heading1Char">
    <w:name w:val="Heading 1 Char"/>
    <w:basedOn w:val="DefaultParagraphFont"/>
    <w:link w:val="Heading1"/>
    <w:rsid w:val="009C5821"/>
    <w:rPr>
      <w:rFonts w:asciiTheme="minorHAnsi" w:eastAsiaTheme="majorEastAsia" w:hAnsiTheme="minorHAnsi" w:cstheme="majorBidi"/>
      <w:b/>
      <w:color w:val="2E74B5" w:themeColor="accent1" w:themeShade="BF"/>
      <w:sz w:val="32"/>
      <w:szCs w:val="32"/>
    </w:rPr>
  </w:style>
  <w:style w:type="paragraph" w:styleId="TOCHeading">
    <w:name w:val="TOC Heading"/>
    <w:basedOn w:val="Heading1"/>
    <w:next w:val="Normal"/>
    <w:uiPriority w:val="39"/>
    <w:unhideWhenUsed/>
    <w:qFormat/>
    <w:rsid w:val="00CB44BE"/>
    <w:pPr>
      <w:numPr>
        <w:numId w:val="0"/>
      </w:numPr>
      <w:spacing w:line="259" w:lineRule="auto"/>
      <w:outlineLvl w:val="9"/>
    </w:pPr>
    <w:rPr>
      <w:lang w:val="en-US" w:eastAsia="en-US"/>
    </w:rPr>
  </w:style>
  <w:style w:type="paragraph" w:styleId="TOC1">
    <w:name w:val="toc 1"/>
    <w:basedOn w:val="Normal"/>
    <w:next w:val="Normal"/>
    <w:autoRedefine/>
    <w:uiPriority w:val="39"/>
    <w:rsid w:val="0085485E"/>
    <w:pPr>
      <w:tabs>
        <w:tab w:val="left" w:pos="660"/>
        <w:tab w:val="right" w:leader="dot" w:pos="8296"/>
      </w:tabs>
      <w:spacing w:after="100"/>
    </w:pPr>
  </w:style>
  <w:style w:type="paragraph" w:styleId="TOC2">
    <w:name w:val="toc 2"/>
    <w:basedOn w:val="Normal"/>
    <w:next w:val="Normal"/>
    <w:autoRedefine/>
    <w:uiPriority w:val="39"/>
    <w:unhideWhenUsed/>
    <w:rsid w:val="0044142F"/>
    <w:pPr>
      <w:spacing w:after="100" w:line="259" w:lineRule="auto"/>
      <w:ind w:left="220"/>
    </w:pPr>
    <w:rPr>
      <w:rFonts w:eastAsiaTheme="minorEastAsia"/>
      <w:sz w:val="22"/>
      <w:szCs w:val="22"/>
      <w:lang w:val="en-US" w:eastAsia="en-US"/>
    </w:rPr>
  </w:style>
  <w:style w:type="paragraph" w:styleId="TOC3">
    <w:name w:val="toc 3"/>
    <w:basedOn w:val="Normal"/>
    <w:next w:val="Normal"/>
    <w:autoRedefine/>
    <w:uiPriority w:val="39"/>
    <w:unhideWhenUsed/>
    <w:rsid w:val="0044142F"/>
    <w:pPr>
      <w:spacing w:after="100" w:line="259" w:lineRule="auto"/>
      <w:ind w:left="440"/>
    </w:pPr>
    <w:rPr>
      <w:rFonts w:eastAsiaTheme="minorEastAsia"/>
      <w:sz w:val="22"/>
      <w:szCs w:val="22"/>
      <w:lang w:val="en-US" w:eastAsia="en-US"/>
    </w:rPr>
  </w:style>
  <w:style w:type="character" w:customStyle="1" w:styleId="Heading3Char">
    <w:name w:val="Heading 3 Char"/>
    <w:basedOn w:val="DefaultParagraphFont"/>
    <w:link w:val="Heading3"/>
    <w:rsid w:val="000D49D9"/>
    <w:rPr>
      <w:rFonts w:asciiTheme="minorHAnsi" w:eastAsiaTheme="majorEastAsia" w:hAnsiTheme="minorHAnsi" w:cstheme="majorBidi"/>
      <w:color w:val="1F4D78" w:themeColor="accent1" w:themeShade="7F"/>
      <w:sz w:val="24"/>
      <w:szCs w:val="24"/>
    </w:rPr>
  </w:style>
  <w:style w:type="character" w:styleId="CommentReference">
    <w:name w:val="annotation reference"/>
    <w:basedOn w:val="DefaultParagraphFont"/>
    <w:uiPriority w:val="99"/>
    <w:rsid w:val="00E71455"/>
    <w:rPr>
      <w:sz w:val="16"/>
      <w:szCs w:val="16"/>
    </w:rPr>
  </w:style>
  <w:style w:type="paragraph" w:styleId="CommentText">
    <w:name w:val="annotation text"/>
    <w:basedOn w:val="Normal"/>
    <w:link w:val="CommentTextChar"/>
    <w:uiPriority w:val="99"/>
    <w:rsid w:val="00E71455"/>
    <w:rPr>
      <w:sz w:val="20"/>
      <w:szCs w:val="20"/>
    </w:rPr>
  </w:style>
  <w:style w:type="character" w:customStyle="1" w:styleId="CommentTextChar">
    <w:name w:val="Comment Text Char"/>
    <w:basedOn w:val="DefaultParagraphFont"/>
    <w:link w:val="CommentText"/>
    <w:uiPriority w:val="99"/>
    <w:rsid w:val="00E71455"/>
  </w:style>
  <w:style w:type="paragraph" w:styleId="CommentSubject">
    <w:name w:val="annotation subject"/>
    <w:basedOn w:val="CommentText"/>
    <w:next w:val="CommentText"/>
    <w:link w:val="CommentSubjectChar"/>
    <w:rsid w:val="00E71455"/>
    <w:rPr>
      <w:b/>
      <w:bCs/>
    </w:rPr>
  </w:style>
  <w:style w:type="character" w:customStyle="1" w:styleId="CommentSubjectChar">
    <w:name w:val="Comment Subject Char"/>
    <w:basedOn w:val="CommentTextChar"/>
    <w:link w:val="CommentSubject"/>
    <w:rsid w:val="00E71455"/>
    <w:rPr>
      <w:b/>
      <w:bCs/>
    </w:rPr>
  </w:style>
  <w:style w:type="paragraph" w:customStyle="1" w:styleId="Default">
    <w:name w:val="Default"/>
    <w:rsid w:val="008450D4"/>
    <w:pPr>
      <w:autoSpaceDE w:val="0"/>
      <w:autoSpaceDN w:val="0"/>
      <w:adjustRightInd w:val="0"/>
    </w:pPr>
    <w:rPr>
      <w:rFonts w:ascii="Arial" w:hAnsi="Arial" w:cs="Arial"/>
      <w:color w:val="000000"/>
      <w:sz w:val="24"/>
      <w:szCs w:val="24"/>
      <w:lang w:val="cy-GB"/>
    </w:rPr>
  </w:style>
  <w:style w:type="character" w:customStyle="1" w:styleId="Heading4Char">
    <w:name w:val="Heading 4 Char"/>
    <w:basedOn w:val="DefaultParagraphFont"/>
    <w:link w:val="Heading4"/>
    <w:rsid w:val="00C24DD4"/>
    <w:rPr>
      <w:rFonts w:asciiTheme="majorHAnsi" w:eastAsiaTheme="majorEastAsia" w:hAnsiTheme="majorHAnsi" w:cstheme="majorBidi"/>
      <w:i/>
      <w:iCs/>
      <w:color w:val="2E74B5" w:themeColor="accent1" w:themeShade="BF"/>
      <w:sz w:val="24"/>
      <w:szCs w:val="24"/>
    </w:rPr>
  </w:style>
  <w:style w:type="paragraph" w:styleId="Revision">
    <w:name w:val="Revision"/>
    <w:hidden/>
    <w:uiPriority w:val="99"/>
    <w:semiHidden/>
    <w:rsid w:val="005E641F"/>
    <w:rPr>
      <w:rFonts w:ascii="Verdana" w:hAnsi="Verdana"/>
      <w:sz w:val="24"/>
      <w:szCs w:val="24"/>
    </w:rPr>
  </w:style>
  <w:style w:type="paragraph" w:customStyle="1" w:styleId="context">
    <w:name w:val="context"/>
    <w:basedOn w:val="Normal"/>
    <w:rsid w:val="000F3F6E"/>
    <w:pPr>
      <w:spacing w:before="100" w:beforeAutospacing="1" w:after="100" w:afterAutospacing="1"/>
    </w:pPr>
    <w:rPr>
      <w:rFonts w:ascii="Times New Roman" w:hAnsi="Times New Roman"/>
      <w:lang w:val="cy-GB" w:eastAsia="cy-GB"/>
    </w:rPr>
  </w:style>
  <w:style w:type="character" w:customStyle="1" w:styleId="Heading5Char">
    <w:name w:val="Heading 5 Char"/>
    <w:basedOn w:val="DefaultParagraphFont"/>
    <w:link w:val="Heading5"/>
    <w:rsid w:val="00930C58"/>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rsid w:val="00930C58"/>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rsid w:val="00930C58"/>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semiHidden/>
    <w:rsid w:val="006F642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6F642A"/>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0E03D6"/>
    <w:pPr>
      <w:spacing w:before="100" w:beforeAutospacing="1" w:after="100" w:afterAutospacing="1"/>
    </w:pPr>
    <w:rPr>
      <w:rFonts w:ascii="Times New Roman" w:hAnsi="Times New Roman"/>
      <w:lang w:val="cy-GB" w:eastAsia="cy-GB"/>
    </w:rPr>
  </w:style>
  <w:style w:type="character" w:customStyle="1" w:styleId="foldable-text">
    <w:name w:val="foldable-text"/>
    <w:basedOn w:val="DefaultParagraphFont"/>
    <w:rsid w:val="00FA209D"/>
  </w:style>
  <w:style w:type="character" w:styleId="Strong">
    <w:name w:val="Strong"/>
    <w:basedOn w:val="DefaultParagraphFont"/>
    <w:uiPriority w:val="22"/>
    <w:qFormat/>
    <w:rsid w:val="006A5C28"/>
    <w:rPr>
      <w:b/>
      <w:bCs/>
    </w:rPr>
  </w:style>
  <w:style w:type="character" w:styleId="FollowedHyperlink">
    <w:name w:val="FollowedHyperlink"/>
    <w:basedOn w:val="DefaultParagraphFont"/>
    <w:rsid w:val="00676B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4579">
      <w:bodyDiv w:val="1"/>
      <w:marLeft w:val="0"/>
      <w:marRight w:val="0"/>
      <w:marTop w:val="0"/>
      <w:marBottom w:val="0"/>
      <w:divBdr>
        <w:top w:val="none" w:sz="0" w:space="0" w:color="auto"/>
        <w:left w:val="none" w:sz="0" w:space="0" w:color="auto"/>
        <w:bottom w:val="none" w:sz="0" w:space="0" w:color="auto"/>
        <w:right w:val="none" w:sz="0" w:space="0" w:color="auto"/>
      </w:divBdr>
    </w:div>
    <w:div w:id="108360321">
      <w:bodyDiv w:val="1"/>
      <w:marLeft w:val="0"/>
      <w:marRight w:val="0"/>
      <w:marTop w:val="0"/>
      <w:marBottom w:val="0"/>
      <w:divBdr>
        <w:top w:val="none" w:sz="0" w:space="0" w:color="auto"/>
        <w:left w:val="none" w:sz="0" w:space="0" w:color="auto"/>
        <w:bottom w:val="none" w:sz="0" w:space="0" w:color="auto"/>
        <w:right w:val="none" w:sz="0" w:space="0" w:color="auto"/>
      </w:divBdr>
    </w:div>
    <w:div w:id="160657187">
      <w:bodyDiv w:val="1"/>
      <w:marLeft w:val="0"/>
      <w:marRight w:val="0"/>
      <w:marTop w:val="0"/>
      <w:marBottom w:val="0"/>
      <w:divBdr>
        <w:top w:val="none" w:sz="0" w:space="0" w:color="auto"/>
        <w:left w:val="none" w:sz="0" w:space="0" w:color="auto"/>
        <w:bottom w:val="none" w:sz="0" w:space="0" w:color="auto"/>
        <w:right w:val="none" w:sz="0" w:space="0" w:color="auto"/>
      </w:divBdr>
    </w:div>
    <w:div w:id="350493736">
      <w:bodyDiv w:val="1"/>
      <w:marLeft w:val="0"/>
      <w:marRight w:val="0"/>
      <w:marTop w:val="0"/>
      <w:marBottom w:val="0"/>
      <w:divBdr>
        <w:top w:val="none" w:sz="0" w:space="0" w:color="auto"/>
        <w:left w:val="none" w:sz="0" w:space="0" w:color="auto"/>
        <w:bottom w:val="none" w:sz="0" w:space="0" w:color="auto"/>
        <w:right w:val="none" w:sz="0" w:space="0" w:color="auto"/>
      </w:divBdr>
    </w:div>
    <w:div w:id="357002271">
      <w:bodyDiv w:val="1"/>
      <w:marLeft w:val="0"/>
      <w:marRight w:val="0"/>
      <w:marTop w:val="0"/>
      <w:marBottom w:val="0"/>
      <w:divBdr>
        <w:top w:val="none" w:sz="0" w:space="0" w:color="auto"/>
        <w:left w:val="none" w:sz="0" w:space="0" w:color="auto"/>
        <w:bottom w:val="none" w:sz="0" w:space="0" w:color="auto"/>
        <w:right w:val="none" w:sz="0" w:space="0" w:color="auto"/>
      </w:divBdr>
    </w:div>
    <w:div w:id="441919145">
      <w:bodyDiv w:val="1"/>
      <w:marLeft w:val="0"/>
      <w:marRight w:val="0"/>
      <w:marTop w:val="0"/>
      <w:marBottom w:val="0"/>
      <w:divBdr>
        <w:top w:val="none" w:sz="0" w:space="0" w:color="auto"/>
        <w:left w:val="none" w:sz="0" w:space="0" w:color="auto"/>
        <w:bottom w:val="none" w:sz="0" w:space="0" w:color="auto"/>
        <w:right w:val="none" w:sz="0" w:space="0" w:color="auto"/>
      </w:divBdr>
    </w:div>
    <w:div w:id="496969184">
      <w:bodyDiv w:val="1"/>
      <w:marLeft w:val="0"/>
      <w:marRight w:val="0"/>
      <w:marTop w:val="0"/>
      <w:marBottom w:val="0"/>
      <w:divBdr>
        <w:top w:val="none" w:sz="0" w:space="0" w:color="auto"/>
        <w:left w:val="none" w:sz="0" w:space="0" w:color="auto"/>
        <w:bottom w:val="none" w:sz="0" w:space="0" w:color="auto"/>
        <w:right w:val="none" w:sz="0" w:space="0" w:color="auto"/>
      </w:divBdr>
    </w:div>
    <w:div w:id="535890404">
      <w:bodyDiv w:val="1"/>
      <w:marLeft w:val="0"/>
      <w:marRight w:val="0"/>
      <w:marTop w:val="0"/>
      <w:marBottom w:val="0"/>
      <w:divBdr>
        <w:top w:val="none" w:sz="0" w:space="0" w:color="auto"/>
        <w:left w:val="none" w:sz="0" w:space="0" w:color="auto"/>
        <w:bottom w:val="none" w:sz="0" w:space="0" w:color="auto"/>
        <w:right w:val="none" w:sz="0" w:space="0" w:color="auto"/>
      </w:divBdr>
    </w:div>
    <w:div w:id="563755387">
      <w:bodyDiv w:val="1"/>
      <w:marLeft w:val="0"/>
      <w:marRight w:val="0"/>
      <w:marTop w:val="0"/>
      <w:marBottom w:val="0"/>
      <w:divBdr>
        <w:top w:val="none" w:sz="0" w:space="0" w:color="auto"/>
        <w:left w:val="none" w:sz="0" w:space="0" w:color="auto"/>
        <w:bottom w:val="none" w:sz="0" w:space="0" w:color="auto"/>
        <w:right w:val="none" w:sz="0" w:space="0" w:color="auto"/>
      </w:divBdr>
    </w:div>
    <w:div w:id="686952120">
      <w:bodyDiv w:val="1"/>
      <w:marLeft w:val="0"/>
      <w:marRight w:val="0"/>
      <w:marTop w:val="0"/>
      <w:marBottom w:val="0"/>
      <w:divBdr>
        <w:top w:val="none" w:sz="0" w:space="0" w:color="auto"/>
        <w:left w:val="none" w:sz="0" w:space="0" w:color="auto"/>
        <w:bottom w:val="none" w:sz="0" w:space="0" w:color="auto"/>
        <w:right w:val="none" w:sz="0" w:space="0" w:color="auto"/>
      </w:divBdr>
      <w:divsChild>
        <w:div w:id="385103471">
          <w:marLeft w:val="0"/>
          <w:marRight w:val="0"/>
          <w:marTop w:val="0"/>
          <w:marBottom w:val="0"/>
          <w:divBdr>
            <w:top w:val="none" w:sz="0" w:space="0" w:color="auto"/>
            <w:left w:val="none" w:sz="0" w:space="0" w:color="auto"/>
            <w:bottom w:val="none" w:sz="0" w:space="0" w:color="auto"/>
            <w:right w:val="none" w:sz="0" w:space="0" w:color="auto"/>
          </w:divBdr>
        </w:div>
        <w:div w:id="999695935">
          <w:marLeft w:val="0"/>
          <w:marRight w:val="0"/>
          <w:marTop w:val="0"/>
          <w:marBottom w:val="0"/>
          <w:divBdr>
            <w:top w:val="none" w:sz="0" w:space="0" w:color="auto"/>
            <w:left w:val="none" w:sz="0" w:space="0" w:color="auto"/>
            <w:bottom w:val="none" w:sz="0" w:space="0" w:color="auto"/>
            <w:right w:val="none" w:sz="0" w:space="0" w:color="auto"/>
          </w:divBdr>
        </w:div>
        <w:div w:id="1072191061">
          <w:marLeft w:val="0"/>
          <w:marRight w:val="0"/>
          <w:marTop w:val="0"/>
          <w:marBottom w:val="0"/>
          <w:divBdr>
            <w:top w:val="none" w:sz="0" w:space="0" w:color="auto"/>
            <w:left w:val="none" w:sz="0" w:space="0" w:color="auto"/>
            <w:bottom w:val="none" w:sz="0" w:space="0" w:color="auto"/>
            <w:right w:val="none" w:sz="0" w:space="0" w:color="auto"/>
          </w:divBdr>
        </w:div>
        <w:div w:id="1098063339">
          <w:marLeft w:val="0"/>
          <w:marRight w:val="0"/>
          <w:marTop w:val="0"/>
          <w:marBottom w:val="0"/>
          <w:divBdr>
            <w:top w:val="none" w:sz="0" w:space="0" w:color="auto"/>
            <w:left w:val="none" w:sz="0" w:space="0" w:color="auto"/>
            <w:bottom w:val="none" w:sz="0" w:space="0" w:color="auto"/>
            <w:right w:val="none" w:sz="0" w:space="0" w:color="auto"/>
          </w:divBdr>
        </w:div>
        <w:div w:id="1100829522">
          <w:marLeft w:val="0"/>
          <w:marRight w:val="0"/>
          <w:marTop w:val="0"/>
          <w:marBottom w:val="0"/>
          <w:divBdr>
            <w:top w:val="none" w:sz="0" w:space="0" w:color="auto"/>
            <w:left w:val="none" w:sz="0" w:space="0" w:color="auto"/>
            <w:bottom w:val="none" w:sz="0" w:space="0" w:color="auto"/>
            <w:right w:val="none" w:sz="0" w:space="0" w:color="auto"/>
          </w:divBdr>
        </w:div>
        <w:div w:id="1264605726">
          <w:marLeft w:val="0"/>
          <w:marRight w:val="0"/>
          <w:marTop w:val="0"/>
          <w:marBottom w:val="0"/>
          <w:divBdr>
            <w:top w:val="none" w:sz="0" w:space="0" w:color="auto"/>
            <w:left w:val="none" w:sz="0" w:space="0" w:color="auto"/>
            <w:bottom w:val="none" w:sz="0" w:space="0" w:color="auto"/>
            <w:right w:val="none" w:sz="0" w:space="0" w:color="auto"/>
          </w:divBdr>
        </w:div>
        <w:div w:id="1337263956">
          <w:marLeft w:val="0"/>
          <w:marRight w:val="0"/>
          <w:marTop w:val="0"/>
          <w:marBottom w:val="0"/>
          <w:divBdr>
            <w:top w:val="none" w:sz="0" w:space="0" w:color="auto"/>
            <w:left w:val="none" w:sz="0" w:space="0" w:color="auto"/>
            <w:bottom w:val="none" w:sz="0" w:space="0" w:color="auto"/>
            <w:right w:val="none" w:sz="0" w:space="0" w:color="auto"/>
          </w:divBdr>
        </w:div>
      </w:divsChild>
    </w:div>
    <w:div w:id="730083716">
      <w:bodyDiv w:val="1"/>
      <w:marLeft w:val="0"/>
      <w:marRight w:val="0"/>
      <w:marTop w:val="0"/>
      <w:marBottom w:val="0"/>
      <w:divBdr>
        <w:top w:val="none" w:sz="0" w:space="0" w:color="auto"/>
        <w:left w:val="none" w:sz="0" w:space="0" w:color="auto"/>
        <w:bottom w:val="none" w:sz="0" w:space="0" w:color="auto"/>
        <w:right w:val="none" w:sz="0" w:space="0" w:color="auto"/>
      </w:divBdr>
    </w:div>
    <w:div w:id="788085249">
      <w:bodyDiv w:val="1"/>
      <w:marLeft w:val="0"/>
      <w:marRight w:val="0"/>
      <w:marTop w:val="0"/>
      <w:marBottom w:val="0"/>
      <w:divBdr>
        <w:top w:val="none" w:sz="0" w:space="0" w:color="auto"/>
        <w:left w:val="none" w:sz="0" w:space="0" w:color="auto"/>
        <w:bottom w:val="none" w:sz="0" w:space="0" w:color="auto"/>
        <w:right w:val="none" w:sz="0" w:space="0" w:color="auto"/>
      </w:divBdr>
    </w:div>
    <w:div w:id="802889515">
      <w:bodyDiv w:val="1"/>
      <w:marLeft w:val="0"/>
      <w:marRight w:val="0"/>
      <w:marTop w:val="0"/>
      <w:marBottom w:val="0"/>
      <w:divBdr>
        <w:top w:val="none" w:sz="0" w:space="0" w:color="auto"/>
        <w:left w:val="none" w:sz="0" w:space="0" w:color="auto"/>
        <w:bottom w:val="none" w:sz="0" w:space="0" w:color="auto"/>
        <w:right w:val="none" w:sz="0" w:space="0" w:color="auto"/>
      </w:divBdr>
    </w:div>
    <w:div w:id="820926904">
      <w:bodyDiv w:val="1"/>
      <w:marLeft w:val="0"/>
      <w:marRight w:val="0"/>
      <w:marTop w:val="0"/>
      <w:marBottom w:val="0"/>
      <w:divBdr>
        <w:top w:val="none" w:sz="0" w:space="0" w:color="auto"/>
        <w:left w:val="none" w:sz="0" w:space="0" w:color="auto"/>
        <w:bottom w:val="none" w:sz="0" w:space="0" w:color="auto"/>
        <w:right w:val="none" w:sz="0" w:space="0" w:color="auto"/>
      </w:divBdr>
      <w:divsChild>
        <w:div w:id="1055467797">
          <w:marLeft w:val="0"/>
          <w:marRight w:val="0"/>
          <w:marTop w:val="0"/>
          <w:marBottom w:val="0"/>
          <w:divBdr>
            <w:top w:val="none" w:sz="0" w:space="0" w:color="auto"/>
            <w:left w:val="none" w:sz="0" w:space="0" w:color="auto"/>
            <w:bottom w:val="none" w:sz="0" w:space="0" w:color="auto"/>
            <w:right w:val="none" w:sz="0" w:space="0" w:color="auto"/>
          </w:divBdr>
        </w:div>
      </w:divsChild>
    </w:div>
    <w:div w:id="1027415300">
      <w:bodyDiv w:val="1"/>
      <w:marLeft w:val="0"/>
      <w:marRight w:val="0"/>
      <w:marTop w:val="0"/>
      <w:marBottom w:val="0"/>
      <w:divBdr>
        <w:top w:val="none" w:sz="0" w:space="0" w:color="auto"/>
        <w:left w:val="none" w:sz="0" w:space="0" w:color="auto"/>
        <w:bottom w:val="none" w:sz="0" w:space="0" w:color="auto"/>
        <w:right w:val="none" w:sz="0" w:space="0" w:color="auto"/>
      </w:divBdr>
    </w:div>
    <w:div w:id="1031690661">
      <w:bodyDiv w:val="1"/>
      <w:marLeft w:val="0"/>
      <w:marRight w:val="0"/>
      <w:marTop w:val="0"/>
      <w:marBottom w:val="0"/>
      <w:divBdr>
        <w:top w:val="none" w:sz="0" w:space="0" w:color="auto"/>
        <w:left w:val="none" w:sz="0" w:space="0" w:color="auto"/>
        <w:bottom w:val="none" w:sz="0" w:space="0" w:color="auto"/>
        <w:right w:val="none" w:sz="0" w:space="0" w:color="auto"/>
      </w:divBdr>
    </w:div>
    <w:div w:id="1304313916">
      <w:bodyDiv w:val="1"/>
      <w:marLeft w:val="0"/>
      <w:marRight w:val="0"/>
      <w:marTop w:val="0"/>
      <w:marBottom w:val="0"/>
      <w:divBdr>
        <w:top w:val="none" w:sz="0" w:space="0" w:color="auto"/>
        <w:left w:val="none" w:sz="0" w:space="0" w:color="auto"/>
        <w:bottom w:val="none" w:sz="0" w:space="0" w:color="auto"/>
        <w:right w:val="none" w:sz="0" w:space="0" w:color="auto"/>
      </w:divBdr>
    </w:div>
    <w:div w:id="1403211158">
      <w:bodyDiv w:val="1"/>
      <w:marLeft w:val="0"/>
      <w:marRight w:val="0"/>
      <w:marTop w:val="0"/>
      <w:marBottom w:val="0"/>
      <w:divBdr>
        <w:top w:val="none" w:sz="0" w:space="0" w:color="auto"/>
        <w:left w:val="none" w:sz="0" w:space="0" w:color="auto"/>
        <w:bottom w:val="none" w:sz="0" w:space="0" w:color="auto"/>
        <w:right w:val="none" w:sz="0" w:space="0" w:color="auto"/>
      </w:divBdr>
    </w:div>
    <w:div w:id="1438599501">
      <w:bodyDiv w:val="1"/>
      <w:marLeft w:val="0"/>
      <w:marRight w:val="0"/>
      <w:marTop w:val="0"/>
      <w:marBottom w:val="0"/>
      <w:divBdr>
        <w:top w:val="none" w:sz="0" w:space="0" w:color="auto"/>
        <w:left w:val="none" w:sz="0" w:space="0" w:color="auto"/>
        <w:bottom w:val="none" w:sz="0" w:space="0" w:color="auto"/>
        <w:right w:val="none" w:sz="0" w:space="0" w:color="auto"/>
      </w:divBdr>
    </w:div>
    <w:div w:id="1479153311">
      <w:bodyDiv w:val="1"/>
      <w:marLeft w:val="0"/>
      <w:marRight w:val="0"/>
      <w:marTop w:val="0"/>
      <w:marBottom w:val="0"/>
      <w:divBdr>
        <w:top w:val="none" w:sz="0" w:space="0" w:color="auto"/>
        <w:left w:val="none" w:sz="0" w:space="0" w:color="auto"/>
        <w:bottom w:val="none" w:sz="0" w:space="0" w:color="auto"/>
        <w:right w:val="none" w:sz="0" w:space="0" w:color="auto"/>
      </w:divBdr>
    </w:div>
    <w:div w:id="1490365030">
      <w:bodyDiv w:val="1"/>
      <w:marLeft w:val="0"/>
      <w:marRight w:val="0"/>
      <w:marTop w:val="0"/>
      <w:marBottom w:val="0"/>
      <w:divBdr>
        <w:top w:val="none" w:sz="0" w:space="0" w:color="auto"/>
        <w:left w:val="none" w:sz="0" w:space="0" w:color="auto"/>
        <w:bottom w:val="none" w:sz="0" w:space="0" w:color="auto"/>
        <w:right w:val="none" w:sz="0" w:space="0" w:color="auto"/>
      </w:divBdr>
    </w:div>
    <w:div w:id="1729109124">
      <w:bodyDiv w:val="1"/>
      <w:marLeft w:val="0"/>
      <w:marRight w:val="0"/>
      <w:marTop w:val="0"/>
      <w:marBottom w:val="0"/>
      <w:divBdr>
        <w:top w:val="none" w:sz="0" w:space="0" w:color="auto"/>
        <w:left w:val="none" w:sz="0" w:space="0" w:color="auto"/>
        <w:bottom w:val="none" w:sz="0" w:space="0" w:color="auto"/>
        <w:right w:val="none" w:sz="0" w:space="0" w:color="auto"/>
      </w:divBdr>
    </w:div>
    <w:div w:id="1776703668">
      <w:bodyDiv w:val="1"/>
      <w:marLeft w:val="0"/>
      <w:marRight w:val="0"/>
      <w:marTop w:val="0"/>
      <w:marBottom w:val="0"/>
      <w:divBdr>
        <w:top w:val="none" w:sz="0" w:space="0" w:color="auto"/>
        <w:left w:val="none" w:sz="0" w:space="0" w:color="auto"/>
        <w:bottom w:val="none" w:sz="0" w:space="0" w:color="auto"/>
        <w:right w:val="none" w:sz="0" w:space="0" w:color="auto"/>
      </w:divBdr>
    </w:div>
    <w:div w:id="1793092024">
      <w:bodyDiv w:val="1"/>
      <w:marLeft w:val="0"/>
      <w:marRight w:val="0"/>
      <w:marTop w:val="0"/>
      <w:marBottom w:val="0"/>
      <w:divBdr>
        <w:top w:val="none" w:sz="0" w:space="0" w:color="auto"/>
        <w:left w:val="none" w:sz="0" w:space="0" w:color="auto"/>
        <w:bottom w:val="none" w:sz="0" w:space="0" w:color="auto"/>
        <w:right w:val="none" w:sz="0" w:space="0" w:color="auto"/>
      </w:divBdr>
    </w:div>
    <w:div w:id="1870725982">
      <w:bodyDiv w:val="1"/>
      <w:marLeft w:val="0"/>
      <w:marRight w:val="0"/>
      <w:marTop w:val="0"/>
      <w:marBottom w:val="0"/>
      <w:divBdr>
        <w:top w:val="none" w:sz="0" w:space="0" w:color="auto"/>
        <w:left w:val="none" w:sz="0" w:space="0" w:color="auto"/>
        <w:bottom w:val="none" w:sz="0" w:space="0" w:color="auto"/>
        <w:right w:val="none" w:sz="0" w:space="0" w:color="auto"/>
      </w:divBdr>
    </w:div>
    <w:div w:id="1950893936">
      <w:bodyDiv w:val="1"/>
      <w:marLeft w:val="0"/>
      <w:marRight w:val="0"/>
      <w:marTop w:val="0"/>
      <w:marBottom w:val="0"/>
      <w:divBdr>
        <w:top w:val="none" w:sz="0" w:space="0" w:color="auto"/>
        <w:left w:val="none" w:sz="0" w:space="0" w:color="auto"/>
        <w:bottom w:val="none" w:sz="0" w:space="0" w:color="auto"/>
        <w:right w:val="none" w:sz="0" w:space="0" w:color="auto"/>
      </w:divBdr>
      <w:divsChild>
        <w:div w:id="579632200">
          <w:marLeft w:val="0"/>
          <w:marRight w:val="0"/>
          <w:marTop w:val="0"/>
          <w:marBottom w:val="0"/>
          <w:divBdr>
            <w:top w:val="none" w:sz="0" w:space="0" w:color="auto"/>
            <w:left w:val="none" w:sz="0" w:space="0" w:color="auto"/>
            <w:bottom w:val="none" w:sz="0" w:space="0" w:color="auto"/>
            <w:right w:val="none" w:sz="0" w:space="0" w:color="auto"/>
          </w:divBdr>
          <w:divsChild>
            <w:div w:id="344524761">
              <w:marLeft w:val="0"/>
              <w:marRight w:val="0"/>
              <w:marTop w:val="0"/>
              <w:marBottom w:val="0"/>
              <w:divBdr>
                <w:top w:val="none" w:sz="0" w:space="0" w:color="auto"/>
                <w:left w:val="none" w:sz="0" w:space="0" w:color="auto"/>
                <w:bottom w:val="none" w:sz="0" w:space="0" w:color="auto"/>
                <w:right w:val="none" w:sz="0" w:space="0" w:color="auto"/>
              </w:divBdr>
            </w:div>
            <w:div w:id="369116233">
              <w:marLeft w:val="0"/>
              <w:marRight w:val="0"/>
              <w:marTop w:val="0"/>
              <w:marBottom w:val="0"/>
              <w:divBdr>
                <w:top w:val="none" w:sz="0" w:space="0" w:color="auto"/>
                <w:left w:val="none" w:sz="0" w:space="0" w:color="auto"/>
                <w:bottom w:val="none" w:sz="0" w:space="0" w:color="auto"/>
                <w:right w:val="none" w:sz="0" w:space="0" w:color="auto"/>
              </w:divBdr>
            </w:div>
            <w:div w:id="620037177">
              <w:marLeft w:val="0"/>
              <w:marRight w:val="0"/>
              <w:marTop w:val="0"/>
              <w:marBottom w:val="0"/>
              <w:divBdr>
                <w:top w:val="none" w:sz="0" w:space="0" w:color="auto"/>
                <w:left w:val="none" w:sz="0" w:space="0" w:color="auto"/>
                <w:bottom w:val="none" w:sz="0" w:space="0" w:color="auto"/>
                <w:right w:val="none" w:sz="0" w:space="0" w:color="auto"/>
              </w:divBdr>
            </w:div>
            <w:div w:id="654525852">
              <w:marLeft w:val="0"/>
              <w:marRight w:val="0"/>
              <w:marTop w:val="0"/>
              <w:marBottom w:val="0"/>
              <w:divBdr>
                <w:top w:val="none" w:sz="0" w:space="0" w:color="auto"/>
                <w:left w:val="none" w:sz="0" w:space="0" w:color="auto"/>
                <w:bottom w:val="none" w:sz="0" w:space="0" w:color="auto"/>
                <w:right w:val="none" w:sz="0" w:space="0" w:color="auto"/>
              </w:divBdr>
            </w:div>
            <w:div w:id="686324361">
              <w:marLeft w:val="0"/>
              <w:marRight w:val="0"/>
              <w:marTop w:val="0"/>
              <w:marBottom w:val="0"/>
              <w:divBdr>
                <w:top w:val="none" w:sz="0" w:space="0" w:color="auto"/>
                <w:left w:val="none" w:sz="0" w:space="0" w:color="auto"/>
                <w:bottom w:val="none" w:sz="0" w:space="0" w:color="auto"/>
                <w:right w:val="none" w:sz="0" w:space="0" w:color="auto"/>
              </w:divBdr>
            </w:div>
            <w:div w:id="866412742">
              <w:marLeft w:val="0"/>
              <w:marRight w:val="0"/>
              <w:marTop w:val="0"/>
              <w:marBottom w:val="0"/>
              <w:divBdr>
                <w:top w:val="none" w:sz="0" w:space="0" w:color="auto"/>
                <w:left w:val="none" w:sz="0" w:space="0" w:color="auto"/>
                <w:bottom w:val="none" w:sz="0" w:space="0" w:color="auto"/>
                <w:right w:val="none" w:sz="0" w:space="0" w:color="auto"/>
              </w:divBdr>
            </w:div>
            <w:div w:id="210580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0814">
      <w:bodyDiv w:val="1"/>
      <w:marLeft w:val="0"/>
      <w:marRight w:val="0"/>
      <w:marTop w:val="0"/>
      <w:marBottom w:val="0"/>
      <w:divBdr>
        <w:top w:val="none" w:sz="0" w:space="0" w:color="auto"/>
        <w:left w:val="none" w:sz="0" w:space="0" w:color="auto"/>
        <w:bottom w:val="none" w:sz="0" w:space="0" w:color="auto"/>
        <w:right w:val="none" w:sz="0" w:space="0" w:color="auto"/>
      </w:divBdr>
    </w:div>
    <w:div w:id="2109080439">
      <w:bodyDiv w:val="1"/>
      <w:marLeft w:val="0"/>
      <w:marRight w:val="0"/>
      <w:marTop w:val="0"/>
      <w:marBottom w:val="0"/>
      <w:divBdr>
        <w:top w:val="none" w:sz="0" w:space="0" w:color="auto"/>
        <w:left w:val="none" w:sz="0" w:space="0" w:color="auto"/>
        <w:bottom w:val="none" w:sz="0" w:space="0" w:color="auto"/>
        <w:right w:val="none" w:sz="0" w:space="0" w:color="auto"/>
      </w:divBdr>
    </w:div>
    <w:div w:id="212672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me.bangor.ac.uk/reportspublications.php.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Men09</b:Tag>
    <b:SourceType>Report</b:SourceType>
    <b:Guid>{397083A8-8133-4E9C-B4D0-2369C9027B75}</b:Guid>
    <b:Title>Promoting mental health and preventing mental </b:Title>
    <b:Year>2009 </b:Year>
    <b:Author>
      <b:Author>
        <b:NameList>
          <b:Person>
            <b:Last>Network</b:Last>
            <b:First>Mental</b:First>
            <b:Middle>Health Promotion</b:Middle>
          </b:Person>
        </b:NameList>
      </b:Author>
    </b:Author>
    <b:RefOrder>1</b:RefOrder>
  </b:Source>
</b:Sources>
</file>

<file path=customXml/itemProps1.xml><?xml version="1.0" encoding="utf-8"?>
<ds:datastoreItem xmlns:ds="http://schemas.openxmlformats.org/officeDocument/2006/customXml" ds:itemID="{73115C6F-17BC-46FE-B8E0-FFF786218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9508A7FE.dotm</Template>
  <TotalTime>2</TotalTime>
  <Pages>61</Pages>
  <Words>6955</Words>
  <Characters>40012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46874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Llinos Spencer</dc:creator>
  <cp:keywords/>
  <dc:description/>
  <cp:lastModifiedBy>Llinos Spencer</cp:lastModifiedBy>
  <cp:revision>3</cp:revision>
  <cp:lastPrinted>2019-01-08T09:38:00Z</cp:lastPrinted>
  <dcterms:created xsi:type="dcterms:W3CDTF">2019-10-14T09:57:00Z</dcterms:created>
  <dcterms:modified xsi:type="dcterms:W3CDTF">2019-10-14T09:58:00Z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20454620-e740-3367-989f-ef9e6dd1becf</vt:lpwstr>
  </property>
  <property fmtid="{D5CDD505-2E9C-101B-9397-08002B2CF9AE}" pid="24" name="Mendeley Citation Style_1">
    <vt:lpwstr>http://www.zotero.org/styles/nature</vt:lpwstr>
  </property>
</Properties>
</file>